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nbwnqz3tyot1" w:id="0"/>
      <w:bookmarkEnd w:id="0"/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Улучшение Fine Tuning LLM c помощью Multi Token Prediction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n70x4jahune5" w:id="1"/>
      <w:bookmarkEnd w:id="1"/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Е. С. Мостовых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Московский физико-технический институт (национальный исследовательский университет)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1"/>
        <w:keepLines w:val="1"/>
        <w:spacing w:after="240" w:lineRule="auto"/>
        <w:ind w:firstLine="0"/>
        <w:jc w:val="left"/>
        <w:rPr>
          <w:sz w:val="24"/>
          <w:szCs w:val="24"/>
        </w:rPr>
      </w:pPr>
      <w:bookmarkStart w:colFirst="0" w:colLast="0" w:name="_c8e5rkb2roaa" w:id="2"/>
      <w:bookmarkEnd w:id="2"/>
      <w:r w:rsidDel="00000000" w:rsidR="00000000" w:rsidRPr="00000000">
        <w:rPr>
          <w:sz w:val="24"/>
          <w:szCs w:val="24"/>
          <w:rtl w:val="0"/>
        </w:rPr>
        <w:t xml:space="preserve">Abstract: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Мы расширяем результат статьи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Gloeckle (2024), заключающийся в том, что LLM обученная с несколькими дополнительными головами (используя метод multi token prediction) получается лучшего качества. В нашей работе мы показываем, что используя multi token prediction, можно улучшить также качество Fine Tuning-а моделей. Также в данной работе улучшения появляются начиная с размера моделей 1B, в том время как в оригинале - начиная с 7B.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1"/>
        <w:keepLines w:val="1"/>
        <w:spacing w:after="240" w:lineRule="auto"/>
        <w:ind w:firstLine="0"/>
        <w:jc w:val="left"/>
        <w:rPr>
          <w:sz w:val="24"/>
          <w:szCs w:val="24"/>
        </w:rPr>
      </w:pPr>
      <w:bookmarkStart w:colFirst="0" w:colLast="0" w:name="_5p1g1wr08yrk" w:id="3"/>
      <w:bookmarkEnd w:id="3"/>
      <w:r w:rsidDel="00000000" w:rsidR="00000000" w:rsidRPr="00000000">
        <w:rPr>
          <w:sz w:val="24"/>
          <w:szCs w:val="24"/>
          <w:rtl w:val="0"/>
        </w:rPr>
        <w:t xml:space="preserve">Thesis: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240" w:before="240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Одной из ключевых проблем современных больших языковых моделей (LLM) остаётся медленный инференс — для генерации каждого нового токена требуется полный прогон всей модели. В ответ на это было предложено множество решений, среди которых выделяется направление Multi Token Prediction (MTP). В своей работе я исследую гипотезу: можно ли использовать MTP не только для ускорения инференса, но и как средство повышения качества дообучения предобученных LLM под новые задачи.</w:t>
      </w:r>
    </w:p>
    <w:p w:rsidR="00000000" w:rsidDel="00000000" w:rsidP="00000000" w:rsidRDefault="00000000" w:rsidRPr="00000000" w14:paraId="00000009">
      <w:pPr>
        <w:keepNext w:val="1"/>
        <w:spacing w:after="240" w:before="240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Метод MTP подразумевает предсказание сразу нескольких следующих токенов на каждом шаге генерации. Для этого в модели добавляются независимые выходные головы, работающие поверх общей архитектуры. Авторы одноимённой статьи (2024) показали, что такой подход особенно эффективен при обучении моделей с нуля и преимущественно на больших архитектурах (от 7B параметров). Моя работа развивает это направление: предлагается дообучать уже предобученные модели (например, LLaMA 1B и 3B) с добавлением одной или нескольких спекулятивных голов, тем самым улучшая как качество, так и потенциальную скорость инференса.</w:t>
      </w:r>
    </w:p>
    <w:p w:rsidR="00000000" w:rsidDel="00000000" w:rsidP="00000000" w:rsidRDefault="00000000" w:rsidRPr="00000000" w14:paraId="0000000A">
      <w:pPr>
        <w:keepNext w:val="1"/>
        <w:spacing w:after="240" w:before="240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Эксперименты проводились с использованием подхода PrefixTuning, при котором обучаются только эмбеддинги начального промпта. В качестве дополнительных голов использовались как простые линейные слои, так и полноценные трансформерные блоки. Результаты показывают, что даже добавление одной трансформерной головы способно заметно снизить loss основной модели и повысить точность ответов, особенно на датасетах типа GSM8k, InstructV3 и CoQA. Также проверялась эффективность использования двух голов — улучшение качества сохраняется, хотя наблюдаются колебания точности между первой и второй головой.</w:t>
      </w:r>
    </w:p>
    <w:p w:rsidR="00000000" w:rsidDel="00000000" w:rsidP="00000000" w:rsidRDefault="00000000" w:rsidRPr="00000000" w14:paraId="0000000B">
      <w:pPr>
        <w:keepNext w:val="1"/>
        <w:spacing w:after="240" w:before="240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Важным отличием предлагаемого подхода является его применимость к небольшим моделям и способность приносить улучшения при обучении лишь части параметров. Это открывает путь к более эффективному и ресурсосберегающему дообучению LLM на специфические задачи.</w:t>
      </w:r>
    </w:p>
    <w:p w:rsidR="00000000" w:rsidDel="00000000" w:rsidP="00000000" w:rsidRDefault="00000000" w:rsidRPr="00000000" w14:paraId="0000000C">
      <w:pPr>
        <w:keepNext w:val="1"/>
        <w:spacing w:after="240" w:before="240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В заключении сформулированы направления дальнейших исследований: углублённое обучение голов на разнообразных датасетах, использование альтернативных fine-tuning техник (например, LoRA), и более широкий охват бенчмарков для оценки качества.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502" w:hanging="360"/>
        <w:jc w:val="left"/>
      </w:pPr>
      <w:r w:rsidDel="00000000" w:rsidR="00000000" w:rsidRPr="00000000">
        <w:rPr>
          <w:sz w:val="20"/>
          <w:szCs w:val="20"/>
          <w:rtl w:val="0"/>
        </w:rPr>
        <w:t xml:space="preserve">Vaswani A., Shazeer N., Parmar N., et al. Attention is All You Need // </w:t>
      </w:r>
      <w:r w:rsidDel="00000000" w:rsidR="00000000" w:rsidRPr="00000000">
        <w:rPr>
          <w:i w:val="1"/>
          <w:sz w:val="20"/>
          <w:szCs w:val="20"/>
          <w:rtl w:val="0"/>
        </w:rPr>
        <w:t xml:space="preserve">Advances in Neural Information Processing Systems (NeurIPS)</w:t>
      </w:r>
      <w:r w:rsidDel="00000000" w:rsidR="00000000" w:rsidRPr="00000000">
        <w:rPr>
          <w:sz w:val="20"/>
          <w:szCs w:val="20"/>
          <w:rtl w:val="0"/>
        </w:rPr>
        <w:t xml:space="preserve">. — 2017. — Vol. 30.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https://arxiv.org/abs/1706.03762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502" w:hanging="360"/>
        <w:jc w:val="left"/>
      </w:pPr>
      <w:r w:rsidDel="00000000" w:rsidR="00000000" w:rsidRPr="00000000">
        <w:rPr>
          <w:sz w:val="20"/>
          <w:szCs w:val="20"/>
          <w:rtl w:val="0"/>
        </w:rPr>
        <w:t xml:space="preserve">Sun Z., Guo Q., Fu J., et al. Better &amp; Faster: Enhancing Large Language Models with Multi-token Prediction // </w:t>
      </w:r>
      <w:r w:rsidDel="00000000" w:rsidR="00000000" w:rsidRPr="00000000">
        <w:rPr>
          <w:i w:val="1"/>
          <w:sz w:val="20"/>
          <w:szCs w:val="20"/>
          <w:rtl w:val="0"/>
        </w:rPr>
        <w:t xml:space="preserve">arXiv preprint</w:t>
      </w:r>
      <w:r w:rsidDel="00000000" w:rsidR="00000000" w:rsidRPr="00000000">
        <w:rPr>
          <w:sz w:val="20"/>
          <w:szCs w:val="20"/>
          <w:rtl w:val="0"/>
        </w:rPr>
        <w:t xml:space="preserve">. — 2024. —</w:t>
      </w:r>
      <w:hyperlink r:id="rId8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https://arxiv.org/abs/2402.16665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502" w:hanging="360"/>
        <w:jc w:val="left"/>
      </w:pPr>
      <w:r w:rsidDel="00000000" w:rsidR="00000000" w:rsidRPr="00000000">
        <w:rPr>
          <w:sz w:val="20"/>
          <w:szCs w:val="20"/>
          <w:rtl w:val="0"/>
        </w:rPr>
        <w:t xml:space="preserve">DeepSeek. DeepSeek-V2 Technical Report // </w:t>
      </w:r>
      <w:r w:rsidDel="00000000" w:rsidR="00000000" w:rsidRPr="00000000">
        <w:rPr>
          <w:i w:val="1"/>
          <w:sz w:val="20"/>
          <w:szCs w:val="20"/>
          <w:rtl w:val="0"/>
        </w:rPr>
        <w:t xml:space="preserve">arXiv preprint</w:t>
      </w:r>
      <w:r w:rsidDel="00000000" w:rsidR="00000000" w:rsidRPr="00000000">
        <w:rPr>
          <w:sz w:val="20"/>
          <w:szCs w:val="20"/>
          <w:rtl w:val="0"/>
        </w:rPr>
        <w:t xml:space="preserve">. — 2024. —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https://arxiv.org/abs/2404.03503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502" w:hanging="360"/>
        <w:jc w:val="left"/>
      </w:pPr>
      <w:r w:rsidDel="00000000" w:rsidR="00000000" w:rsidRPr="00000000">
        <w:rPr>
          <w:sz w:val="20"/>
          <w:szCs w:val="20"/>
          <w:rtl w:val="0"/>
        </w:rPr>
        <w:t xml:space="preserve">Chen B., Ruan Y., Wu W., et al. EAGLE: Enhancing Autoregressive Decoding with Generative Latent Experts // </w:t>
      </w:r>
      <w:r w:rsidDel="00000000" w:rsidR="00000000" w:rsidRPr="00000000">
        <w:rPr>
          <w:i w:val="1"/>
          <w:sz w:val="20"/>
          <w:szCs w:val="20"/>
          <w:rtl w:val="0"/>
        </w:rPr>
        <w:t xml:space="preserve">arXiv preprint</w:t>
      </w:r>
      <w:r w:rsidDel="00000000" w:rsidR="00000000" w:rsidRPr="00000000">
        <w:rPr>
          <w:sz w:val="20"/>
          <w:szCs w:val="20"/>
          <w:rtl w:val="0"/>
        </w:rPr>
        <w:t xml:space="preserve">. — 2024. —</w:t>
      </w:r>
      <w:hyperlink r:id="rId12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https://arxiv.org/abs/2402.00840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502" w:hanging="360"/>
        <w:jc w:val="left"/>
      </w:pPr>
      <w:r w:rsidDel="00000000" w:rsidR="00000000" w:rsidRPr="00000000">
        <w:rPr>
          <w:sz w:val="20"/>
          <w:szCs w:val="20"/>
          <w:rtl w:val="0"/>
        </w:rPr>
        <w:t xml:space="preserve">Levy O., Chen M.X., Chowdhery A., et al. Faster Language Models with Speculative Sampling // </w:t>
      </w:r>
      <w:r w:rsidDel="00000000" w:rsidR="00000000" w:rsidRPr="00000000">
        <w:rPr>
          <w:i w:val="1"/>
          <w:sz w:val="20"/>
          <w:szCs w:val="20"/>
          <w:rtl w:val="0"/>
        </w:rPr>
        <w:t xml:space="preserve">arXiv preprint</w:t>
      </w:r>
      <w:r w:rsidDel="00000000" w:rsidR="00000000" w:rsidRPr="00000000">
        <w:rPr>
          <w:sz w:val="20"/>
          <w:szCs w:val="20"/>
          <w:rtl w:val="0"/>
        </w:rPr>
        <w:t xml:space="preserve">. — 2023. —</w:t>
      </w:r>
      <w:hyperlink r:id="rId14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https://arxiv.org/abs/2302.01318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02" w:hanging="360"/>
        <w:rPr>
          <w:i w:val="1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footerReference r:id="rId16" w:type="default"/>
      <w:pgSz w:h="16840" w:w="11907" w:orient="portrait"/>
      <w:pgMar w:bottom="1247" w:top="1021" w:left="1021" w:right="1021" w:header="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––––––––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ind w:firstLine="0"/>
      <w:jc w:val="left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  <w:ind w:firstLine="0"/>
      <w:jc w:val="left"/>
    </w:pPr>
    <w:rPr>
      <w:rFonts w:ascii="Cambria" w:cs="Cambria" w:eastAsia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567"/>
      <w:jc w:val="left"/>
    </w:pPr>
    <w:rPr>
      <w:rFonts w:ascii="Arial" w:cs="Arial" w:eastAsia="Arial" w:hAnsi="Arial"/>
      <w:b w:val="1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ind w:firstLine="0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firstLine="0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rxiv.org/abs/2404.03503" TargetMode="External"/><Relationship Id="rId10" Type="http://schemas.openxmlformats.org/officeDocument/2006/relationships/hyperlink" Target="https://arxiv.org/abs/2404.03503" TargetMode="External"/><Relationship Id="rId13" Type="http://schemas.openxmlformats.org/officeDocument/2006/relationships/hyperlink" Target="https://arxiv.org/abs/2402.00840" TargetMode="External"/><Relationship Id="rId12" Type="http://schemas.openxmlformats.org/officeDocument/2006/relationships/hyperlink" Target="https://arxiv.org/abs/2402.0084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xiv.org/abs/2402.16665" TargetMode="External"/><Relationship Id="rId15" Type="http://schemas.openxmlformats.org/officeDocument/2006/relationships/hyperlink" Target="https://arxiv.org/abs/2302.01318" TargetMode="External"/><Relationship Id="rId14" Type="http://schemas.openxmlformats.org/officeDocument/2006/relationships/hyperlink" Target="https://arxiv.org/abs/2302.01318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arxiv.org/abs/1706.03762" TargetMode="External"/><Relationship Id="rId7" Type="http://schemas.openxmlformats.org/officeDocument/2006/relationships/hyperlink" Target="https://arxiv.org/abs/1706.03762" TargetMode="External"/><Relationship Id="rId8" Type="http://schemas.openxmlformats.org/officeDocument/2006/relationships/hyperlink" Target="https://arxiv.org/abs/2402.1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