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УДК 004.42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Использование технологий MPI и OpenMP для решения вычислительных задач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В. И. Голубев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, С. М. Корниенко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Московский физико-технический институт (национальный </w:t>
      </w:r>
    </w:p>
    <w:p w:rsidR="00000000" w:rsidDel="00000000" w:rsidP="00000000" w:rsidRDefault="00000000" w:rsidRPr="00000000" w14:paraId="00000008">
      <w:pPr>
        <w:jc w:val="center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исследовательский университет)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" w:cs="Times" w:eastAsia="Times" w:hAnsi="Times"/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В современном мире вычислительные задачи требуют эффективного использования параллельных технологий. Основные архитектуры параллельного программирования – это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 MPI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OpenMP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, – которые предлагают два различных подхода для  распараллеливания вычислений: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MPI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используется в системах с распределенной памятью, а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OpenMP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подходит для систем с общей памятью. В данной работе проводится сравнительный анализ эффективности этих технологий на различных вычислительных задачах, рассматриваются преимущества и ограничения этих подходов.</w:t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Исследование проводилось на тестовых задачах, включая вычисление числа </w:t>
      </w:r>
      <m:oMath>
        <m:r>
          <m:t>π</m:t>
        </m:r>
        <m:r>
          <w:rPr>
            <w:rFonts w:ascii="Times" w:cs="Times" w:eastAsia="Times" w:hAnsi="Times"/>
            <w:sz w:val="24"/>
            <w:szCs w:val="24"/>
            <w:highlight w:val="white"/>
          </w:rPr>
          <m:t xml:space="preserve">, </m:t>
        </m:r>
      </m:oMath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умножение матриц и решение систем линейных уравнений. Для оценки производительности использовался компьютер с восьмиядерным шестнадцатипоточным процессором. Измерялось время выполнение программ с различным количеством кластеров и потоков с помощью встроенных библиотек, на основе полученных данных делался вывод об эффективности параллельного алгоритма. </w:t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Проведенное исследование показывает, что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MPI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демонстрирует хорошую масштабируемость на больших кластерах, а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OpenMP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эффективно работает на многоядерных процессорах;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OpenMP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требует меньше модифицировать код традиционного алгоритма, однако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MPI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демонстрирует более гибкий процесс управления параллельными процессами.</w:t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Предпочтение между двумя технологиями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MPI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OpenMP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должно основываться на характеристиках вычислительной машины, на которой производится расчет, и специфике конкретной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vertAlign w:val="superscript"/>
        </w:rPr>
        <w:drawing>
          <wp:inline distB="114300" distT="114300" distL="114300" distR="114300">
            <wp:extent cx="5272088" cy="491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491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Рис. 1. Сравнительный анализ вычисления числа</w:t>
      </w:r>
      <w:r w:rsidDel="00000000" w:rsidR="00000000" w:rsidRPr="00000000">
        <w:rPr>
          <w:rFonts w:ascii="Times" w:cs="Times" w:eastAsia="Times" w:hAnsi="Times"/>
          <w:sz w:val="24"/>
          <w:szCs w:val="24"/>
          <w:vertAlign w:val="superscript"/>
          <w:rtl w:val="0"/>
        </w:rPr>
        <w:t xml:space="preserve"> </w:t>
      </w:r>
      <m:oMath>
        <m:r>
          <m:t>π</m:t>
        </m:r>
        <m:r>
          <w:rPr>
            <w:rFonts w:ascii="Times" w:cs="Times" w:eastAsia="Times" w:hAnsi="Times"/>
            <w:sz w:val="24"/>
            <w:szCs w:val="24"/>
            <w:highlight w:val="white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" w:cs="Times" w:eastAsia="Times" w:hAnsi="Times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highlight w:val="white"/>
          <w:rtl w:val="0"/>
        </w:rPr>
        <w:t xml:space="preserve">Малявко А.А.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М 219 Параллельное программирование на основе технологий OpenMP, MPI, CUDA: учеб. пособие / А.А. Малявко. – Новосибирск: Изд-во НГТУ, 2015. – 116 с.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highlight w:val="white"/>
          <w:rtl w:val="0"/>
        </w:rPr>
        <w:t xml:space="preserve">Гафаров Ф.М. 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Г12 Параллельные вычисления: учеб. пособие / Ф.М. Гафаров, А.Ф. Галимянов. – Казань: Изд-во Казан. ун-та, 2018. – 149 с.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highlight w:val="white"/>
          <w:rtl w:val="0"/>
        </w:rPr>
        <w:t xml:space="preserve">Гергель В.П.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Теория и практика параллельных вычислений. - М.: Национальный Открытый Университет ИНТУИТ, 2016. - 500 с.</w:t>
      </w:r>
    </w:p>
    <w:p w:rsidR="00000000" w:rsidDel="00000000" w:rsidP="00000000" w:rsidRDefault="00000000" w:rsidRPr="00000000" w14:paraId="0000001C">
      <w:pPr>
        <w:jc w:val="left"/>
        <w:rPr>
          <w:rFonts w:ascii="Times" w:cs="Times" w:eastAsia="Times" w:hAnsi="Times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Times" w:cs="Times" w:eastAsia="Times" w:hAnsi="Times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