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01042" w:rsidRDefault="004651BE">
      <w:pPr>
        <w:spacing w:before="600" w:line="240" w:lineRule="auto"/>
        <w:rPr>
          <w:rFonts w:ascii="Times New Roman" w:eastAsia="Times New Roman" w:hAnsi="Times New Roman" w:cs="Times New Roman"/>
        </w:rPr>
      </w:pPr>
      <w:r>
        <w:rPr>
          <w:rFonts w:ascii="Times New Roman" w:eastAsia="Times New Roman" w:hAnsi="Times New Roman" w:cs="Times New Roman"/>
        </w:rPr>
        <w:t xml:space="preserve">УДК 004.932.2 </w:t>
      </w:r>
    </w:p>
    <w:p w:rsidR="00701042" w:rsidRDefault="004651BE">
      <w:pPr>
        <w:spacing w:before="160" w:after="60" w:line="240" w:lineRule="auto"/>
        <w:jc w:val="center"/>
      </w:pPr>
      <w:r>
        <w:rPr>
          <w:rFonts w:ascii="Times New Roman" w:eastAsia="Times New Roman" w:hAnsi="Times New Roman" w:cs="Times New Roman"/>
          <w:b/>
          <w:sz w:val="24"/>
          <w:szCs w:val="24"/>
        </w:rPr>
        <w:t>Цифровая генерация редких гистологических окрасок по снимкам с гематоксилин-</w:t>
      </w:r>
      <w:proofErr w:type="spellStart"/>
      <w:r>
        <w:rPr>
          <w:rFonts w:ascii="Times New Roman" w:eastAsia="Times New Roman" w:hAnsi="Times New Roman" w:cs="Times New Roman"/>
          <w:b/>
          <w:sz w:val="24"/>
          <w:szCs w:val="24"/>
        </w:rPr>
        <w:t>эозиновым</w:t>
      </w:r>
      <w:proofErr w:type="spellEnd"/>
      <w:r>
        <w:rPr>
          <w:rFonts w:ascii="Times New Roman" w:eastAsia="Times New Roman" w:hAnsi="Times New Roman" w:cs="Times New Roman"/>
          <w:b/>
          <w:sz w:val="24"/>
          <w:szCs w:val="24"/>
        </w:rPr>
        <w:t xml:space="preserve"> окрашиванием</w:t>
      </w:r>
    </w:p>
    <w:p w:rsidR="00701042" w:rsidRDefault="004651BE">
      <w:pPr>
        <w:spacing w:before="240" w:line="240" w:lineRule="auto"/>
        <w:jc w:val="center"/>
        <w:rPr>
          <w:rFonts w:ascii="Times New Roman" w:eastAsia="Times New Roman" w:hAnsi="Times New Roman" w:cs="Times New Roman"/>
          <w:b/>
          <w:i/>
        </w:rPr>
      </w:pPr>
      <w:r>
        <w:rPr>
          <w:rFonts w:ascii="Times New Roman" w:eastAsia="Times New Roman" w:hAnsi="Times New Roman" w:cs="Times New Roman"/>
          <w:b/>
          <w:i/>
        </w:rPr>
        <w:t>Дорогова С.Ю., Халин А.В.</w:t>
      </w:r>
    </w:p>
    <w:p w:rsidR="00701042" w:rsidRDefault="004651BE">
      <w:pPr>
        <w:spacing w:before="120" w:after="240" w:line="240" w:lineRule="auto"/>
        <w:ind w:left="720"/>
        <w:jc w:val="center"/>
        <w:rPr>
          <w:rFonts w:ascii="Times New Roman" w:eastAsia="Times New Roman" w:hAnsi="Times New Roman" w:cs="Times New Roman"/>
        </w:rPr>
      </w:pPr>
      <w:r>
        <w:rPr>
          <w:rFonts w:ascii="Times New Roman" w:eastAsia="Times New Roman" w:hAnsi="Times New Roman" w:cs="Times New Roman"/>
          <w:sz w:val="20"/>
          <w:szCs w:val="20"/>
          <w:vertAlign w:val="superscript"/>
        </w:rPr>
        <w:t>1</w:t>
      </w:r>
      <w:r>
        <w:rPr>
          <w:rFonts w:ascii="Times New Roman" w:eastAsia="Times New Roman" w:hAnsi="Times New Roman" w:cs="Times New Roman"/>
          <w:sz w:val="20"/>
          <w:szCs w:val="20"/>
        </w:rPr>
        <w:t xml:space="preserve">Институт проблем передачи информации им. А.А. </w:t>
      </w:r>
      <w:proofErr w:type="spellStart"/>
      <w:r>
        <w:rPr>
          <w:rFonts w:ascii="Times New Roman" w:eastAsia="Times New Roman" w:hAnsi="Times New Roman" w:cs="Times New Roman"/>
          <w:sz w:val="20"/>
          <w:szCs w:val="20"/>
        </w:rPr>
        <w:t>Харкевича</w:t>
      </w:r>
      <w:proofErr w:type="spellEnd"/>
      <w:r>
        <w:rPr>
          <w:rFonts w:ascii="Times New Roman" w:eastAsia="Times New Roman" w:hAnsi="Times New Roman" w:cs="Times New Roman"/>
          <w:sz w:val="20"/>
          <w:szCs w:val="20"/>
        </w:rPr>
        <w:t xml:space="preserve"> РАН</w:t>
      </w:r>
      <w:r>
        <w:rPr>
          <w:rFonts w:ascii="Times New Roman" w:eastAsia="Times New Roman" w:hAnsi="Times New Roman" w:cs="Times New Roman"/>
          <w:sz w:val="20"/>
          <w:szCs w:val="20"/>
        </w:rPr>
        <w:br/>
      </w:r>
      <w:r>
        <w:rPr>
          <w:rFonts w:ascii="Times New Roman" w:eastAsia="Times New Roman" w:hAnsi="Times New Roman" w:cs="Times New Roman"/>
          <w:sz w:val="20"/>
          <w:szCs w:val="20"/>
          <w:vertAlign w:val="superscript"/>
        </w:rPr>
        <w:t>2</w:t>
      </w:r>
      <w:r>
        <w:rPr>
          <w:rFonts w:ascii="Times New Roman" w:eastAsia="Times New Roman" w:hAnsi="Times New Roman" w:cs="Times New Roman"/>
          <w:sz w:val="20"/>
          <w:szCs w:val="20"/>
        </w:rPr>
        <w:t>Московский физико-технический институт (национальный исследовательский университет)</w:t>
      </w:r>
    </w:p>
    <w:p w:rsidR="00701042" w:rsidRDefault="004651BE">
      <w:pPr>
        <w:spacing w:line="240" w:lineRule="auto"/>
        <w:ind w:firstLine="566"/>
        <w:jc w:val="both"/>
        <w:rPr>
          <w:rFonts w:ascii="Times New Roman" w:eastAsia="Times New Roman" w:hAnsi="Times New Roman" w:cs="Times New Roman"/>
        </w:rPr>
      </w:pPr>
      <w:r>
        <w:rPr>
          <w:rFonts w:ascii="Times New Roman" w:eastAsia="Times New Roman" w:hAnsi="Times New Roman" w:cs="Times New Roman"/>
        </w:rPr>
        <w:t xml:space="preserve">Гистологический анализ тканей имеет ключевое значение в диагностике ряда заболеваний. Наиболее распространенным методом является окрашивание гематоксилином и эозином (англ. </w:t>
      </w:r>
      <w:proofErr w:type="spellStart"/>
      <w:r>
        <w:rPr>
          <w:rFonts w:ascii="Times New Roman" w:eastAsia="Times New Roman" w:hAnsi="Times New Roman" w:cs="Times New Roman"/>
        </w:rPr>
        <w:t>hematoxylin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and</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eosin</w:t>
      </w:r>
      <w:proofErr w:type="spellEnd"/>
      <w:r>
        <w:rPr>
          <w:rFonts w:ascii="Times New Roman" w:eastAsia="Times New Roman" w:hAnsi="Times New Roman" w:cs="Times New Roman"/>
        </w:rPr>
        <w:t>, H&amp;E) благодаря его простоте и низкой стоимости. Однако во многих случаях врачи нуждаются в более специфичных окрасках (</w:t>
      </w:r>
      <w:proofErr w:type="spellStart"/>
      <w:r>
        <w:rPr>
          <w:rFonts w:ascii="Times New Roman" w:eastAsia="Times New Roman" w:hAnsi="Times New Roman" w:cs="Times New Roman"/>
        </w:rPr>
        <w:t>Masson’s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Trichrome</w:t>
      </w:r>
      <w:proofErr w:type="spellEnd"/>
      <w:r>
        <w:rPr>
          <w:rFonts w:ascii="Times New Roman" w:eastAsia="Times New Roman" w:hAnsi="Times New Roman" w:cs="Times New Roman"/>
        </w:rPr>
        <w:t xml:space="preserve">, PAS, </w:t>
      </w:r>
      <w:proofErr w:type="spellStart"/>
      <w:r>
        <w:rPr>
          <w:rFonts w:ascii="Times New Roman" w:eastAsia="Times New Roman" w:hAnsi="Times New Roman" w:cs="Times New Roman"/>
        </w:rPr>
        <w:t>Jones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Silver</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Stain</w:t>
      </w:r>
      <w:proofErr w:type="spellEnd"/>
      <w:r>
        <w:rPr>
          <w:rFonts w:ascii="Times New Roman" w:eastAsia="Times New Roman" w:hAnsi="Times New Roman" w:cs="Times New Roman"/>
        </w:rPr>
        <w:t xml:space="preserve"> и др.), которые дольше готовятся, обходятся дороже и требуют дополнительных лабораторных ресурсов. Развитие методов машинного обучения и, в частности, </w:t>
      </w:r>
      <w:proofErr w:type="spellStart"/>
      <w:r>
        <w:rPr>
          <w:rFonts w:ascii="Times New Roman" w:eastAsia="Times New Roman" w:hAnsi="Times New Roman" w:cs="Times New Roman"/>
        </w:rPr>
        <w:t>генеративно</w:t>
      </w:r>
      <w:proofErr w:type="spellEnd"/>
      <w:r>
        <w:rPr>
          <w:rFonts w:ascii="Times New Roman" w:eastAsia="Times New Roman" w:hAnsi="Times New Roman" w:cs="Times New Roman"/>
        </w:rPr>
        <w:t xml:space="preserve">-состязательных сетей (англ. </w:t>
      </w:r>
      <w:proofErr w:type="spellStart"/>
      <w:r>
        <w:rPr>
          <w:rFonts w:ascii="Times New Roman" w:eastAsia="Times New Roman" w:hAnsi="Times New Roman" w:cs="Times New Roman"/>
        </w:rPr>
        <w:t>generative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adversarial</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network</w:t>
      </w:r>
      <w:proofErr w:type="spellEnd"/>
      <w:r>
        <w:rPr>
          <w:rFonts w:ascii="Times New Roman" w:eastAsia="Times New Roman" w:hAnsi="Times New Roman" w:cs="Times New Roman"/>
        </w:rPr>
        <w:t xml:space="preserve">, GAN) открывает путь к «виртуальному» получению нужных маркеров непосредственно по H&amp;E-изображению, что существенно экономит время и ресурсы, а также снижает нагрузку на пациентов и систему здравоохранения. Однако на практике GAN-модели зачастую оказываются неустойчивыми к несовпадениям и вариативности в </w:t>
      </w:r>
      <w:proofErr w:type="spellStart"/>
      <w:r>
        <w:rPr>
          <w:rFonts w:ascii="Times New Roman" w:eastAsia="Times New Roman" w:hAnsi="Times New Roman" w:cs="Times New Roman"/>
        </w:rPr>
        <w:t>датасете</w:t>
      </w:r>
      <w:proofErr w:type="spellEnd"/>
      <w:r>
        <w:rPr>
          <w:rFonts w:ascii="Times New Roman" w:eastAsia="Times New Roman" w:hAnsi="Times New Roman" w:cs="Times New Roman"/>
        </w:rPr>
        <w:t xml:space="preserve"> (например, пространственным смещениям, разной интенсивности окраски и др.).</w:t>
      </w:r>
    </w:p>
    <w:p w:rsidR="00701042" w:rsidRDefault="004651BE">
      <w:pPr>
        <w:spacing w:line="240" w:lineRule="auto"/>
        <w:ind w:firstLine="566"/>
        <w:jc w:val="both"/>
        <w:rPr>
          <w:rFonts w:ascii="Times New Roman" w:eastAsia="Times New Roman" w:hAnsi="Times New Roman" w:cs="Times New Roman"/>
        </w:rPr>
      </w:pPr>
      <w:r>
        <w:rPr>
          <w:rFonts w:ascii="Times New Roman" w:eastAsia="Times New Roman" w:hAnsi="Times New Roman" w:cs="Times New Roman"/>
        </w:rPr>
        <w:t xml:space="preserve">Большинство существующих подходов основаны на архитектурах GAN и методах переноса стиля (англ. </w:t>
      </w:r>
      <w:proofErr w:type="spellStart"/>
      <w:r>
        <w:rPr>
          <w:rFonts w:ascii="Times New Roman" w:eastAsia="Times New Roman" w:hAnsi="Times New Roman" w:cs="Times New Roman"/>
        </w:rPr>
        <w:t>style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transfer</w:t>
      </w:r>
      <w:proofErr w:type="spellEnd"/>
      <w:r>
        <w:rPr>
          <w:rFonts w:ascii="Times New Roman" w:eastAsia="Times New Roman" w:hAnsi="Times New Roman" w:cs="Times New Roman"/>
        </w:rPr>
        <w:t>), когда одна нейронная сеть (генератор) создает «виртуально окрашенные» изображения, а другая (дискриминатор) учится отличать их от реальных.</w:t>
      </w:r>
    </w:p>
    <w:p w:rsidR="00701042" w:rsidRDefault="004651BE">
      <w:pPr>
        <w:spacing w:line="240" w:lineRule="auto"/>
        <w:ind w:firstLine="566"/>
        <w:jc w:val="both"/>
        <w:rPr>
          <w:rFonts w:ascii="Times New Roman" w:eastAsia="Times New Roman" w:hAnsi="Times New Roman" w:cs="Times New Roman"/>
        </w:rPr>
      </w:pPr>
      <w:r>
        <w:rPr>
          <w:rFonts w:ascii="Times New Roman" w:eastAsia="Times New Roman" w:hAnsi="Times New Roman" w:cs="Times New Roman"/>
        </w:rPr>
        <w:t>Показана высокая эффективность подобных методов [1-3]: точность диагноза повышается, если патологоанатомы могут дополнительно изучать вычислительные аналоги редких окрасок.</w:t>
      </w:r>
    </w:p>
    <w:p w:rsidR="00701042" w:rsidRDefault="004651BE">
      <w:pPr>
        <w:spacing w:line="240" w:lineRule="auto"/>
        <w:ind w:firstLine="566"/>
        <w:jc w:val="both"/>
        <w:rPr>
          <w:rFonts w:ascii="Times New Roman" w:eastAsia="Times New Roman" w:hAnsi="Times New Roman" w:cs="Times New Roman"/>
        </w:rPr>
      </w:pPr>
      <w:r>
        <w:rPr>
          <w:rFonts w:ascii="Times New Roman" w:eastAsia="Times New Roman" w:hAnsi="Times New Roman" w:cs="Times New Roman"/>
        </w:rPr>
        <w:t>Основные трудности:</w:t>
      </w:r>
    </w:p>
    <w:p w:rsidR="00701042" w:rsidRDefault="004651BE">
      <w:pPr>
        <w:numPr>
          <w:ilvl w:val="0"/>
          <w:numId w:val="1"/>
        </w:numPr>
        <w:spacing w:line="240" w:lineRule="auto"/>
        <w:jc w:val="both"/>
        <w:rPr>
          <w:rFonts w:ascii="Times New Roman" w:eastAsia="Times New Roman" w:hAnsi="Times New Roman" w:cs="Times New Roman"/>
        </w:rPr>
      </w:pPr>
      <w:r>
        <w:rPr>
          <w:rFonts w:ascii="Times New Roman" w:eastAsia="Times New Roman" w:hAnsi="Times New Roman" w:cs="Times New Roman"/>
        </w:rPr>
        <w:t>Необходимо иметь достаточно большой набор данных (H&amp;E-изображения и эталонные образцы специфических окрасок) с точно сопоставленным</w:t>
      </w:r>
      <w:bookmarkStart w:id="0" w:name="_GoBack"/>
      <w:bookmarkEnd w:id="0"/>
      <w:r>
        <w:rPr>
          <w:rFonts w:ascii="Times New Roman" w:eastAsia="Times New Roman" w:hAnsi="Times New Roman" w:cs="Times New Roman"/>
        </w:rPr>
        <w:t>и изображениями.</w:t>
      </w:r>
    </w:p>
    <w:p w:rsidR="00701042" w:rsidRDefault="004651BE">
      <w:pPr>
        <w:numPr>
          <w:ilvl w:val="0"/>
          <w:numId w:val="1"/>
        </w:numPr>
        <w:spacing w:line="240" w:lineRule="auto"/>
        <w:jc w:val="both"/>
        <w:rPr>
          <w:rFonts w:ascii="Times New Roman" w:eastAsia="Times New Roman" w:hAnsi="Times New Roman" w:cs="Times New Roman"/>
        </w:rPr>
      </w:pPr>
      <w:r>
        <w:rPr>
          <w:rFonts w:ascii="Times New Roman" w:eastAsia="Times New Roman" w:hAnsi="Times New Roman" w:cs="Times New Roman"/>
        </w:rPr>
        <w:t>Возможна необходимость пространственной регистрации срезов (если реальные H&amp;E и редкие окраски получены в разных условиях).</w:t>
      </w:r>
    </w:p>
    <w:p w:rsidR="00701042" w:rsidRDefault="004651BE">
      <w:pPr>
        <w:numPr>
          <w:ilvl w:val="0"/>
          <w:numId w:val="1"/>
        </w:numPr>
        <w:spacing w:line="240" w:lineRule="auto"/>
        <w:jc w:val="both"/>
        <w:rPr>
          <w:rFonts w:ascii="Times New Roman" w:eastAsia="Times New Roman" w:hAnsi="Times New Roman" w:cs="Times New Roman"/>
        </w:rPr>
      </w:pPr>
      <w:r>
        <w:rPr>
          <w:rFonts w:ascii="Times New Roman" w:eastAsia="Times New Roman" w:hAnsi="Times New Roman" w:cs="Times New Roman"/>
        </w:rPr>
        <w:t>Сетевые «галлюцинации», при которых GAN может «добавлять» несуществующие детали; это особенно критично в медицине, где любая ложная структура может привести к неверной диагностике.</w:t>
      </w:r>
    </w:p>
    <w:p w:rsidR="00701042" w:rsidRDefault="004651BE">
      <w:pPr>
        <w:spacing w:line="240" w:lineRule="auto"/>
        <w:ind w:firstLine="566"/>
        <w:jc w:val="both"/>
        <w:rPr>
          <w:rFonts w:ascii="Times New Roman" w:eastAsia="Times New Roman" w:hAnsi="Times New Roman" w:cs="Times New Roman"/>
        </w:rPr>
      </w:pPr>
      <w:r>
        <w:rPr>
          <w:rFonts w:ascii="Times New Roman" w:eastAsia="Times New Roman" w:hAnsi="Times New Roman" w:cs="Times New Roman"/>
        </w:rPr>
        <w:t xml:space="preserve">В классических (парных) GAN-подходах обычно предполагается, что для каждого изображения из </w:t>
      </w:r>
      <w:proofErr w:type="gramStart"/>
      <w:r>
        <w:rPr>
          <w:rFonts w:ascii="Times New Roman" w:eastAsia="Times New Roman" w:hAnsi="Times New Roman" w:cs="Times New Roman"/>
        </w:rPr>
        <w:t xml:space="preserve">домена </w:t>
      </w:r>
      <m:oMath>
        <m:r>
          <m:rPr>
            <m:sty m:val="p"/>
          </m:rPr>
          <w:rPr>
            <w:rFonts w:ascii="Cambria Math" w:eastAsia="Times New Roman" w:hAnsi="Cambria Math" w:cs="Times New Roman"/>
          </w:rPr>
          <m:t>X</m:t>
        </m:r>
      </m:oMath>
      <w:r>
        <w:rPr>
          <w:rFonts w:ascii="Times New Roman" w:eastAsia="Times New Roman" w:hAnsi="Times New Roman" w:cs="Times New Roman"/>
        </w:rPr>
        <w:t xml:space="preserve"> есть</w:t>
      </w:r>
      <w:proofErr w:type="gramEnd"/>
      <w:r>
        <w:rPr>
          <w:rFonts w:ascii="Times New Roman" w:eastAsia="Times New Roman" w:hAnsi="Times New Roman" w:cs="Times New Roman"/>
        </w:rPr>
        <w:t xml:space="preserve"> идеально совмещенное соответствующее изображение из домена </w:t>
      </w:r>
      <m:oMath>
        <m:r>
          <w:rPr>
            <w:rFonts w:ascii="Cambria Math" w:eastAsia="Times New Roman" w:hAnsi="Cambria Math" w:cs="Times New Roman"/>
          </w:rPr>
          <m:t>Y</m:t>
        </m:r>
      </m:oMath>
      <w:r>
        <w:rPr>
          <w:rFonts w:ascii="Times New Roman" w:eastAsia="Times New Roman" w:hAnsi="Times New Roman" w:cs="Times New Roman"/>
        </w:rPr>
        <w:t>. В условиях гистологических исследований это нереализуемо, поскольку препараты, сопоставляемые врачами, на практике являются соседними срезами ткани. Они могут быть похожи (идентичные структуры расположены близко), но не совпадают идеально из-за (1) различных углов среза, (2) возможных артефактов при подготовке, (3) естественного разнообразия ткани. Таким образом, точное соответствие между H&amp;E и Ki-67 (или между любыми другими окрасками) часто отсутствует.</w:t>
      </w:r>
    </w:p>
    <w:p w:rsidR="00701042" w:rsidRDefault="004651BE">
      <w:pPr>
        <w:spacing w:line="240" w:lineRule="auto"/>
        <w:ind w:firstLine="566"/>
        <w:jc w:val="both"/>
        <w:rPr>
          <w:rFonts w:ascii="Times New Roman" w:eastAsia="Times New Roman" w:hAnsi="Times New Roman" w:cs="Times New Roman"/>
        </w:rPr>
      </w:pPr>
      <w:r>
        <w:rPr>
          <w:rFonts w:ascii="Times New Roman" w:eastAsia="Times New Roman" w:hAnsi="Times New Roman" w:cs="Times New Roman"/>
        </w:rPr>
        <w:t xml:space="preserve">Чтобы обойти эту проблему, в работе применяется архитектура </w:t>
      </w:r>
      <w:proofErr w:type="spellStart"/>
      <w:r>
        <w:rPr>
          <w:rFonts w:ascii="Times New Roman" w:eastAsia="Times New Roman" w:hAnsi="Times New Roman" w:cs="Times New Roman"/>
        </w:rPr>
        <w:t>CycleGAN</w:t>
      </w:r>
      <w:proofErr w:type="spellEnd"/>
      <w:r>
        <w:rPr>
          <w:rFonts w:ascii="Times New Roman" w:eastAsia="Times New Roman" w:hAnsi="Times New Roman" w:cs="Times New Roman"/>
        </w:rPr>
        <w:t xml:space="preserve"> [4], представляющая собой схему с двумя генераторами и двумя дискриминаторами. Пусть есть два домена </w:t>
      </w:r>
      <w:proofErr w:type="gramStart"/>
      <w:r>
        <w:rPr>
          <w:rFonts w:ascii="Times New Roman" w:eastAsia="Times New Roman" w:hAnsi="Times New Roman" w:cs="Times New Roman"/>
        </w:rPr>
        <w:t xml:space="preserve">изображений: </w:t>
      </w:r>
      <m:oMath>
        <m:r>
          <w:rPr>
            <w:rFonts w:ascii="Cambria Math" w:eastAsia="Times New Roman" w:hAnsi="Cambria Math" w:cs="Times New Roman"/>
          </w:rPr>
          <m:t>X</m:t>
        </m:r>
      </m:oMath>
      <w:r>
        <w:rPr>
          <w:rFonts w:ascii="Times New Roman" w:eastAsia="Times New Roman" w:hAnsi="Times New Roman" w:cs="Times New Roman"/>
        </w:rPr>
        <w:t xml:space="preserve"> (</w:t>
      </w:r>
      <w:proofErr w:type="gramEnd"/>
      <w:r>
        <w:rPr>
          <w:rFonts w:ascii="Times New Roman" w:eastAsia="Times New Roman" w:hAnsi="Times New Roman" w:cs="Times New Roman"/>
        </w:rPr>
        <w:t xml:space="preserve">например, H&amp;E) и </w:t>
      </w:r>
      <m:oMath>
        <m:r>
          <w:rPr>
            <w:rFonts w:ascii="Cambria Math" w:eastAsia="Times New Roman" w:hAnsi="Cambria Math" w:cs="Times New Roman"/>
          </w:rPr>
          <m:t>Y</m:t>
        </m:r>
      </m:oMath>
      <w:r>
        <w:rPr>
          <w:rFonts w:ascii="Times New Roman" w:eastAsia="Times New Roman" w:hAnsi="Times New Roman" w:cs="Times New Roman"/>
        </w:rPr>
        <w:t xml:space="preserve"> (например, Ki-67). CycleGAN одновременно обучает:</w:t>
      </w:r>
    </w:p>
    <w:p w:rsidR="00701042" w:rsidRDefault="004651BE">
      <w:pPr>
        <w:numPr>
          <w:ilvl w:val="0"/>
          <w:numId w:val="3"/>
        </w:numPr>
        <w:spacing w:line="240" w:lineRule="auto"/>
        <w:jc w:val="both"/>
        <w:rPr>
          <w:rFonts w:ascii="Times New Roman" w:eastAsia="Times New Roman" w:hAnsi="Times New Roman" w:cs="Times New Roman"/>
        </w:rPr>
      </w:pPr>
      <w:proofErr w:type="gramStart"/>
      <w:r>
        <w:rPr>
          <w:rFonts w:ascii="Times New Roman" w:eastAsia="Times New Roman" w:hAnsi="Times New Roman" w:cs="Times New Roman"/>
        </w:rPr>
        <w:t xml:space="preserve">генератор </w:t>
      </w:r>
      <m:oMath>
        <m:sSub>
          <m:sSubPr>
            <m:ctrlPr>
              <w:rPr>
                <w:rFonts w:ascii="Times New Roman" w:eastAsia="Times New Roman" w:hAnsi="Times New Roman" w:cs="Times New Roman"/>
              </w:rPr>
            </m:ctrlPr>
          </m:sSubPr>
          <m:e>
            <m:r>
              <w:rPr>
                <w:rFonts w:ascii="Cambria Math" w:eastAsia="Times New Roman" w:hAnsi="Times New Roman" w:cs="Times New Roman"/>
              </w:rPr>
              <m:t>G</m:t>
            </m:r>
          </m:e>
          <m:sub>
            <m:r>
              <w:rPr>
                <w:rFonts w:ascii="Cambria Math" w:eastAsia="Times New Roman" w:hAnsi="Times New Roman" w:cs="Times New Roman"/>
              </w:rPr>
              <m:t>X</m:t>
            </m:r>
            <m:r>
              <w:rPr>
                <w:rFonts w:ascii="Times New Roman" w:eastAsia="Times New Roman" w:hAnsi="Times New Roman" w:cs="Times New Roman"/>
              </w:rPr>
              <m:t>→</m:t>
            </m:r>
            <m:r>
              <w:rPr>
                <w:rFonts w:ascii="Cambria Math" w:eastAsia="Times New Roman" w:hAnsi="Cambria Math" w:cs="Times New Roman"/>
              </w:rPr>
              <m:t>Y</m:t>
            </m:r>
          </m:sub>
        </m:sSub>
      </m:oMath>
      <w:r>
        <w:rPr>
          <w:rFonts w:ascii="Times New Roman" w:eastAsia="Times New Roman" w:hAnsi="Times New Roman" w:cs="Times New Roman"/>
        </w:rPr>
        <w:t>,</w:t>
      </w:r>
      <w:proofErr w:type="gramEnd"/>
      <w:r>
        <w:rPr>
          <w:rFonts w:ascii="Times New Roman" w:eastAsia="Times New Roman" w:hAnsi="Times New Roman" w:cs="Times New Roman"/>
        </w:rPr>
        <w:t xml:space="preserve"> который переводит изображения из домена </w:t>
      </w:r>
      <m:oMath>
        <m:r>
          <w:rPr>
            <w:rFonts w:ascii="Cambria Math" w:eastAsia="Times New Roman" w:hAnsi="Cambria Math" w:cs="Times New Roman"/>
          </w:rPr>
          <m:t>X</m:t>
        </m:r>
      </m:oMath>
      <w:r>
        <w:rPr>
          <w:rFonts w:ascii="Times New Roman" w:eastAsia="Times New Roman" w:hAnsi="Times New Roman" w:cs="Times New Roman"/>
        </w:rPr>
        <w:t xml:space="preserve"> в домен </w:t>
      </w:r>
      <m:oMath>
        <m:r>
          <w:rPr>
            <w:rFonts w:ascii="Cambria Math" w:eastAsia="Times New Roman" w:hAnsi="Cambria Math" w:cs="Times New Roman"/>
          </w:rPr>
          <m:t>Y</m:t>
        </m:r>
      </m:oMath>
      <w:r>
        <w:rPr>
          <w:rFonts w:ascii="Times New Roman" w:eastAsia="Times New Roman" w:hAnsi="Times New Roman" w:cs="Times New Roman"/>
        </w:rPr>
        <w:t>;</w:t>
      </w:r>
    </w:p>
    <w:p w:rsidR="00701042" w:rsidRDefault="004651BE">
      <w:pPr>
        <w:numPr>
          <w:ilvl w:val="0"/>
          <w:numId w:val="3"/>
        </w:numPr>
        <w:spacing w:line="240" w:lineRule="auto"/>
        <w:jc w:val="both"/>
        <w:rPr>
          <w:rFonts w:ascii="Times New Roman" w:eastAsia="Times New Roman" w:hAnsi="Times New Roman" w:cs="Times New Roman"/>
        </w:rPr>
      </w:pPr>
      <w:proofErr w:type="gramStart"/>
      <w:r>
        <w:rPr>
          <w:rFonts w:ascii="Times New Roman" w:eastAsia="Times New Roman" w:hAnsi="Times New Roman" w:cs="Times New Roman"/>
        </w:rPr>
        <w:t xml:space="preserve">генератор </w:t>
      </w:r>
      <m:oMath>
        <m:sSub>
          <m:sSubPr>
            <m:ctrlPr>
              <w:rPr>
                <w:rFonts w:ascii="Times New Roman" w:eastAsia="Times New Roman" w:hAnsi="Times New Roman" w:cs="Times New Roman"/>
              </w:rPr>
            </m:ctrlPr>
          </m:sSubPr>
          <m:e>
            <m:r>
              <w:rPr>
                <w:rFonts w:ascii="Cambria Math" w:eastAsia="Times New Roman" w:hAnsi="Cambria Math" w:cs="Times New Roman"/>
              </w:rPr>
              <m:t>G</m:t>
            </m:r>
          </m:e>
          <m:sub>
            <m:r>
              <w:rPr>
                <w:rFonts w:ascii="Cambria Math" w:eastAsia="Times New Roman" w:hAnsi="Cambria Math" w:cs="Times New Roman"/>
              </w:rPr>
              <m:t>Y</m:t>
            </m:r>
            <m:r>
              <w:rPr>
                <w:rFonts w:ascii="Times New Roman" w:eastAsia="Times New Roman" w:hAnsi="Times New Roman" w:cs="Times New Roman"/>
              </w:rPr>
              <m:t>→</m:t>
            </m:r>
            <m:r>
              <w:rPr>
                <w:rFonts w:ascii="Cambria Math" w:eastAsia="Times New Roman" w:hAnsi="Cambria Math" w:cs="Times New Roman"/>
              </w:rPr>
              <m:t>X</m:t>
            </m:r>
          </m:sub>
        </m:sSub>
      </m:oMath>
      <w:r>
        <w:rPr>
          <w:rFonts w:ascii="Times New Roman" w:eastAsia="Times New Roman" w:hAnsi="Times New Roman" w:cs="Times New Roman"/>
        </w:rPr>
        <w:t>,</w:t>
      </w:r>
      <w:proofErr w:type="gramEnd"/>
      <w:r>
        <w:rPr>
          <w:rFonts w:ascii="Times New Roman" w:eastAsia="Times New Roman" w:hAnsi="Times New Roman" w:cs="Times New Roman"/>
        </w:rPr>
        <w:t xml:space="preserve"> который осуществляет обратный переход из домена </w:t>
      </w:r>
      <m:oMath>
        <m:r>
          <w:rPr>
            <w:rFonts w:ascii="Cambria Math" w:eastAsia="Times New Roman" w:hAnsi="Cambria Math" w:cs="Times New Roman"/>
          </w:rPr>
          <m:t>Y</m:t>
        </m:r>
      </m:oMath>
      <w:r>
        <w:rPr>
          <w:rFonts w:ascii="Times New Roman" w:eastAsia="Times New Roman" w:hAnsi="Times New Roman" w:cs="Times New Roman"/>
        </w:rPr>
        <w:t xml:space="preserve"> в </w:t>
      </w:r>
      <m:oMath>
        <m:r>
          <w:rPr>
            <w:rFonts w:ascii="Cambria Math" w:eastAsia="Times New Roman" w:hAnsi="Cambria Math" w:cs="Times New Roman"/>
          </w:rPr>
          <m:t>X</m:t>
        </m:r>
      </m:oMath>
      <w:r>
        <w:rPr>
          <w:rFonts w:ascii="Times New Roman" w:eastAsia="Times New Roman" w:hAnsi="Times New Roman" w:cs="Times New Roman"/>
        </w:rPr>
        <w:t>;</w:t>
      </w:r>
    </w:p>
    <w:p w:rsidR="00701042" w:rsidRDefault="004651BE">
      <w:pPr>
        <w:numPr>
          <w:ilvl w:val="0"/>
          <w:numId w:val="3"/>
        </w:numPr>
        <w:spacing w:line="240" w:lineRule="auto"/>
        <w:jc w:val="both"/>
        <w:rPr>
          <w:rFonts w:ascii="Times New Roman" w:eastAsia="Times New Roman" w:hAnsi="Times New Roman" w:cs="Times New Roman"/>
        </w:rPr>
      </w:pPr>
      <w:r>
        <w:rPr>
          <w:rFonts w:ascii="Times New Roman" w:eastAsia="Times New Roman" w:hAnsi="Times New Roman" w:cs="Times New Roman"/>
        </w:rPr>
        <w:t>дискриминаторы, каждый из которых стремиться отличать сгенерированные изображения от настоящих в соответствующих доменах.</w:t>
      </w:r>
    </w:p>
    <w:p w:rsidR="00701042" w:rsidRDefault="004651BE">
      <w:pPr>
        <w:spacing w:line="240" w:lineRule="auto"/>
        <w:ind w:firstLine="566"/>
        <w:jc w:val="both"/>
        <w:rPr>
          <w:rFonts w:ascii="Times New Roman" w:eastAsia="Times New Roman" w:hAnsi="Times New Roman" w:cs="Times New Roman"/>
        </w:rPr>
      </w:pPr>
      <w:r>
        <w:rPr>
          <w:rFonts w:ascii="Times New Roman" w:eastAsia="Times New Roman" w:hAnsi="Times New Roman" w:cs="Times New Roman"/>
        </w:rPr>
        <w:t xml:space="preserve">Ключевое ограничение </w:t>
      </w:r>
      <w:proofErr w:type="spellStart"/>
      <w:r>
        <w:rPr>
          <w:rFonts w:ascii="Times New Roman" w:eastAsia="Times New Roman" w:hAnsi="Times New Roman" w:cs="Times New Roman"/>
        </w:rPr>
        <w:t>CycleGAN</w:t>
      </w:r>
      <w:proofErr w:type="spellEnd"/>
      <w:r>
        <w:rPr>
          <w:rFonts w:ascii="Times New Roman" w:eastAsia="Times New Roman" w:hAnsi="Times New Roman" w:cs="Times New Roman"/>
        </w:rPr>
        <w:t xml:space="preserve"> – это требование на согласованность цикла (англ. </w:t>
      </w:r>
      <w:proofErr w:type="spellStart"/>
      <w:r>
        <w:rPr>
          <w:rFonts w:ascii="Times New Roman" w:eastAsia="Times New Roman" w:hAnsi="Times New Roman" w:cs="Times New Roman"/>
        </w:rPr>
        <w:t>cycle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consistency</w:t>
      </w:r>
      <w:proofErr w:type="spellEnd"/>
      <w:r>
        <w:rPr>
          <w:rFonts w:ascii="Times New Roman" w:eastAsia="Times New Roman" w:hAnsi="Times New Roman" w:cs="Times New Roman"/>
        </w:rPr>
        <w:t xml:space="preserve">), гласящее, что </w:t>
      </w:r>
      <w:proofErr w:type="gramStart"/>
      <w:r>
        <w:rPr>
          <w:rFonts w:ascii="Times New Roman" w:eastAsia="Times New Roman" w:hAnsi="Times New Roman" w:cs="Times New Roman"/>
        </w:rPr>
        <w:t xml:space="preserve">композиция </w:t>
      </w:r>
      <m:oMath>
        <m:sSub>
          <m:sSubPr>
            <m:ctrlPr>
              <w:rPr>
                <w:rFonts w:ascii="Times New Roman" w:eastAsia="Times New Roman" w:hAnsi="Times New Roman" w:cs="Times New Roman"/>
              </w:rPr>
            </m:ctrlPr>
          </m:sSubPr>
          <m:e>
            <m:r>
              <w:rPr>
                <w:rFonts w:ascii="Cambria Math" w:eastAsia="Times New Roman" w:hAnsi="Cambria Math" w:cs="Times New Roman"/>
              </w:rPr>
              <m:t>G</m:t>
            </m:r>
          </m:e>
          <m:sub>
            <m:r>
              <w:rPr>
                <w:rFonts w:ascii="Cambria Math" w:eastAsia="Times New Roman" w:hAnsi="Cambria Math" w:cs="Times New Roman"/>
              </w:rPr>
              <m:t>X</m:t>
            </m:r>
            <m:r>
              <w:rPr>
                <w:rFonts w:ascii="Times New Roman" w:eastAsia="Times New Roman" w:hAnsi="Times New Roman" w:cs="Times New Roman"/>
              </w:rPr>
              <m:t>→</m:t>
            </m:r>
            <m:r>
              <w:rPr>
                <w:rFonts w:ascii="Cambria Math" w:eastAsia="Times New Roman" w:hAnsi="Cambria Math" w:cs="Times New Roman"/>
              </w:rPr>
              <m:t>Y</m:t>
            </m:r>
          </m:sub>
        </m:sSub>
      </m:oMath>
      <w:r>
        <w:rPr>
          <w:rFonts w:ascii="Times New Roman" w:eastAsia="Times New Roman" w:hAnsi="Times New Roman" w:cs="Times New Roman"/>
        </w:rPr>
        <w:t xml:space="preserve"> и</w:t>
      </w:r>
      <w:proofErr w:type="gramEnd"/>
      <w:r>
        <w:rPr>
          <w:rFonts w:ascii="Times New Roman" w:eastAsia="Times New Roman" w:hAnsi="Times New Roman" w:cs="Times New Roman"/>
        </w:rPr>
        <w:t xml:space="preserve"> </w:t>
      </w:r>
      <m:oMath>
        <m:sSub>
          <m:sSubPr>
            <m:ctrlPr>
              <w:rPr>
                <w:rFonts w:ascii="Times New Roman" w:eastAsia="Times New Roman" w:hAnsi="Times New Roman" w:cs="Times New Roman"/>
              </w:rPr>
            </m:ctrlPr>
          </m:sSubPr>
          <m:e>
            <m:r>
              <w:rPr>
                <w:rFonts w:ascii="Cambria Math" w:eastAsia="Times New Roman" w:hAnsi="Cambria Math" w:cs="Times New Roman"/>
              </w:rPr>
              <m:t>G</m:t>
            </m:r>
          </m:e>
          <m:sub>
            <m:r>
              <w:rPr>
                <w:rFonts w:ascii="Cambria Math" w:eastAsia="Times New Roman" w:hAnsi="Cambria Math" w:cs="Times New Roman"/>
              </w:rPr>
              <m:t>Y</m:t>
            </m:r>
            <m:r>
              <w:rPr>
                <w:rFonts w:ascii="Times New Roman" w:eastAsia="Times New Roman" w:hAnsi="Times New Roman" w:cs="Times New Roman"/>
              </w:rPr>
              <m:t>→</m:t>
            </m:r>
            <m:r>
              <w:rPr>
                <w:rFonts w:ascii="Cambria Math" w:eastAsia="Times New Roman" w:hAnsi="Cambria Math" w:cs="Times New Roman"/>
              </w:rPr>
              <m:t>X</m:t>
            </m:r>
          </m:sub>
        </m:sSub>
      </m:oMath>
      <w:r>
        <w:rPr>
          <w:rFonts w:ascii="Times New Roman" w:eastAsia="Times New Roman" w:hAnsi="Times New Roman" w:cs="Times New Roman"/>
        </w:rPr>
        <w:t xml:space="preserve"> должна быть близка к тождественному </w:t>
      </w:r>
      <w:r>
        <w:rPr>
          <w:rFonts w:ascii="Times New Roman" w:eastAsia="Times New Roman" w:hAnsi="Times New Roman" w:cs="Times New Roman"/>
        </w:rPr>
        <w:lastRenderedPageBreak/>
        <w:t xml:space="preserve">преобразованию. Аналогичное требование накладывается и на </w:t>
      </w:r>
      <w:proofErr w:type="gramStart"/>
      <w:r>
        <w:rPr>
          <w:rFonts w:ascii="Times New Roman" w:eastAsia="Times New Roman" w:hAnsi="Times New Roman" w:cs="Times New Roman"/>
        </w:rPr>
        <w:t xml:space="preserve">композицию </w:t>
      </w:r>
      <m:oMath>
        <m:sSub>
          <m:sSubPr>
            <m:ctrlPr>
              <w:rPr>
                <w:rFonts w:ascii="Times New Roman" w:eastAsia="Times New Roman" w:hAnsi="Times New Roman" w:cs="Times New Roman"/>
              </w:rPr>
            </m:ctrlPr>
          </m:sSubPr>
          <m:e>
            <m:r>
              <w:rPr>
                <w:rFonts w:ascii="Cambria Math" w:eastAsia="Times New Roman" w:hAnsi="Cambria Math" w:cs="Times New Roman"/>
              </w:rPr>
              <m:t>G</m:t>
            </m:r>
          </m:e>
          <m:sub>
            <m:r>
              <w:rPr>
                <w:rFonts w:ascii="Cambria Math" w:eastAsia="Times New Roman" w:hAnsi="Cambria Math" w:cs="Times New Roman"/>
              </w:rPr>
              <m:t>Y</m:t>
            </m:r>
            <m:r>
              <w:rPr>
                <w:rFonts w:ascii="Times New Roman" w:eastAsia="Times New Roman" w:hAnsi="Times New Roman" w:cs="Times New Roman"/>
              </w:rPr>
              <m:t>→</m:t>
            </m:r>
            <m:r>
              <w:rPr>
                <w:rFonts w:ascii="Cambria Math" w:eastAsia="Times New Roman" w:hAnsi="Cambria Math" w:cs="Times New Roman"/>
              </w:rPr>
              <m:t>X</m:t>
            </m:r>
          </m:sub>
        </m:sSub>
      </m:oMath>
      <w:r>
        <w:rPr>
          <w:rFonts w:ascii="Times New Roman" w:eastAsia="Times New Roman" w:hAnsi="Times New Roman" w:cs="Times New Roman"/>
        </w:rPr>
        <w:t xml:space="preserve"> и</w:t>
      </w:r>
      <w:proofErr w:type="gramEnd"/>
      <w:r>
        <w:rPr>
          <w:rFonts w:ascii="Times New Roman" w:eastAsia="Times New Roman" w:hAnsi="Times New Roman" w:cs="Times New Roman"/>
        </w:rPr>
        <w:t xml:space="preserve"> </w:t>
      </w:r>
      <m:oMath>
        <m:sSub>
          <m:sSubPr>
            <m:ctrlPr>
              <w:rPr>
                <w:rFonts w:ascii="Times New Roman" w:eastAsia="Times New Roman" w:hAnsi="Times New Roman" w:cs="Times New Roman"/>
              </w:rPr>
            </m:ctrlPr>
          </m:sSubPr>
          <m:e>
            <m:r>
              <w:rPr>
                <w:rFonts w:ascii="Cambria Math" w:eastAsia="Times New Roman" w:hAnsi="Cambria Math" w:cs="Times New Roman"/>
              </w:rPr>
              <m:t>G</m:t>
            </m:r>
          </m:e>
          <m:sub>
            <m:r>
              <w:rPr>
                <w:rFonts w:ascii="Cambria Math" w:eastAsia="Times New Roman" w:hAnsi="Cambria Math" w:cs="Times New Roman"/>
              </w:rPr>
              <m:t>X</m:t>
            </m:r>
            <m:r>
              <w:rPr>
                <w:rFonts w:ascii="Times New Roman" w:eastAsia="Times New Roman" w:hAnsi="Times New Roman" w:cs="Times New Roman"/>
              </w:rPr>
              <m:t>→</m:t>
            </m:r>
            <m:r>
              <w:rPr>
                <w:rFonts w:ascii="Cambria Math" w:eastAsia="Times New Roman" w:hAnsi="Cambria Math" w:cs="Times New Roman"/>
              </w:rPr>
              <m:t>Y</m:t>
            </m:r>
          </m:sub>
        </m:sSub>
      </m:oMath>
      <w:r>
        <w:rPr>
          <w:rFonts w:ascii="Times New Roman" w:eastAsia="Times New Roman" w:hAnsi="Times New Roman" w:cs="Times New Roman"/>
        </w:rPr>
        <w:t xml:space="preserve">. Благодаря такому механизму CycleGAN учится работать на уровне доменов изображений, не требуя точного сопоставления между конкретными парами. Этот подход идеально подходит для задачи виртуального окрашивания гистологических срезов, так как точно сопоставленных </w:t>
      </w:r>
      <w:proofErr w:type="gramStart"/>
      <w:r>
        <w:rPr>
          <w:rFonts w:ascii="Times New Roman" w:eastAsia="Times New Roman" w:hAnsi="Times New Roman" w:cs="Times New Roman"/>
        </w:rPr>
        <w:t xml:space="preserve">пар </w:t>
      </w:r>
      <m:oMath>
        <m:d>
          <m:dPr>
            <m:ctrlPr>
              <w:rPr>
                <w:rFonts w:ascii="Cambria Math" w:eastAsia="Times New Roman" w:hAnsi="Cambria Math" w:cs="Times New Roman"/>
                <w:i/>
              </w:rPr>
            </m:ctrlPr>
          </m:dPr>
          <m:e>
            <m:r>
              <w:rPr>
                <w:rFonts w:ascii="Cambria Math" w:eastAsia="Times New Roman" w:hAnsi="Cambria Math" w:cs="Times New Roman"/>
              </w:rPr>
              <m:t>x</m:t>
            </m:r>
            <m:r>
              <w:rPr>
                <w:rFonts w:ascii="Times New Roman" w:eastAsia="Times New Roman" w:hAnsi="Times New Roman" w:cs="Times New Roman"/>
              </w:rPr>
              <m:t xml:space="preserve">, </m:t>
            </m:r>
            <m:r>
              <w:rPr>
                <w:rFonts w:ascii="Cambria Math" w:eastAsia="Times New Roman" w:hAnsi="Cambria Math" w:cs="Times New Roman"/>
              </w:rPr>
              <m:t>y</m:t>
            </m:r>
          </m:e>
        </m:d>
        <m:r>
          <w:rPr>
            <w:rFonts w:ascii="Cambria Math" w:eastAsia="Times New Roman" w:hAnsi="Times New Roman" w:cs="Times New Roman"/>
            <w:lang w:val="ru-RU"/>
          </w:rPr>
          <m:t>,</m:t>
        </m:r>
        <m:r>
          <w:rPr>
            <w:rFonts w:ascii="Times New Roman" w:eastAsia="Times New Roman" w:hAnsi="Times New Roman" w:cs="Times New Roman"/>
          </w:rPr>
          <m:t xml:space="preserve"> </m:t>
        </m:r>
        <m:r>
          <w:rPr>
            <w:rFonts w:ascii="Cambria Math" w:eastAsia="Times New Roman" w:hAnsi="Times New Roman" w:cs="Times New Roman"/>
          </w:rPr>
          <m:t xml:space="preserve">x </m:t>
        </m:r>
        <m:r>
          <w:rPr>
            <w:rFonts w:ascii="Times New Roman" w:eastAsia="Times New Roman" w:hAnsi="Times New Roman" w:cs="Times New Roman"/>
          </w:rPr>
          <m:t>∈</m:t>
        </m:r>
        <m:r>
          <w:rPr>
            <w:rFonts w:ascii="Cambria Math" w:eastAsia="Times New Roman" w:hAnsi="Cambria Math" w:cs="Times New Roman"/>
          </w:rPr>
          <m:t>X</m:t>
        </m:r>
        <m:r>
          <w:rPr>
            <w:rFonts w:ascii="Times New Roman" w:eastAsia="Times New Roman" w:hAnsi="Times New Roman" w:cs="Times New Roman"/>
          </w:rPr>
          <m:t xml:space="preserve">, </m:t>
        </m:r>
        <m:r>
          <w:rPr>
            <w:rFonts w:ascii="Cambria Math" w:eastAsia="Times New Roman" w:hAnsi="Cambria Math" w:cs="Times New Roman"/>
          </w:rPr>
          <m:t>y</m:t>
        </m:r>
        <m:r>
          <w:rPr>
            <w:rFonts w:ascii="Times New Roman" w:eastAsia="Times New Roman" w:hAnsi="Times New Roman" w:cs="Times New Roman"/>
          </w:rPr>
          <m:t xml:space="preserve"> ∈</m:t>
        </m:r>
        <m:r>
          <w:rPr>
            <w:rFonts w:ascii="Cambria Math" w:eastAsia="Times New Roman" w:hAnsi="Cambria Math" w:cs="Times New Roman"/>
          </w:rPr>
          <m:t>Y</m:t>
        </m:r>
      </m:oMath>
      <w:r>
        <w:rPr>
          <w:rFonts w:ascii="Times New Roman" w:eastAsia="Times New Roman" w:hAnsi="Times New Roman" w:cs="Times New Roman"/>
        </w:rPr>
        <w:t xml:space="preserve"> в</w:t>
      </w:r>
      <w:proofErr w:type="gramEnd"/>
      <w:r>
        <w:rPr>
          <w:rFonts w:ascii="Times New Roman" w:eastAsia="Times New Roman" w:hAnsi="Times New Roman" w:cs="Times New Roman"/>
        </w:rPr>
        <w:t xml:space="preserve"> данной задаче невозможно добиться: для окрашивания беруться лишь соседние срезы, которые не могут быть полностью идентичны.</w:t>
      </w:r>
    </w:p>
    <w:p w:rsidR="00701042" w:rsidRDefault="004651BE">
      <w:pPr>
        <w:spacing w:line="240" w:lineRule="auto"/>
        <w:ind w:firstLine="566"/>
        <w:jc w:val="both"/>
        <w:rPr>
          <w:rFonts w:ascii="Times New Roman" w:eastAsia="Times New Roman" w:hAnsi="Times New Roman" w:cs="Times New Roman"/>
        </w:rPr>
      </w:pPr>
      <w:r>
        <w:rPr>
          <w:rFonts w:ascii="Times New Roman" w:eastAsia="Times New Roman" w:hAnsi="Times New Roman" w:cs="Times New Roman"/>
        </w:rPr>
        <w:t>Нами было сформировано два домена:</w:t>
      </w:r>
    </w:p>
    <w:p w:rsidR="00701042" w:rsidRDefault="004651BE">
      <w:pPr>
        <w:numPr>
          <w:ilvl w:val="0"/>
          <w:numId w:val="2"/>
        </w:numPr>
        <w:spacing w:line="240" w:lineRule="auto"/>
        <w:jc w:val="both"/>
        <w:rPr>
          <w:rFonts w:ascii="Times New Roman" w:eastAsia="Times New Roman" w:hAnsi="Times New Roman" w:cs="Times New Roman"/>
        </w:rPr>
      </w:pPr>
      <w:r>
        <w:rPr>
          <w:rFonts w:ascii="Times New Roman" w:eastAsia="Times New Roman" w:hAnsi="Times New Roman" w:cs="Times New Roman"/>
        </w:rPr>
        <w:t>Изображения, окрашенные H&amp;E (исходный домен).</w:t>
      </w:r>
    </w:p>
    <w:p w:rsidR="00701042" w:rsidRDefault="004651BE">
      <w:pPr>
        <w:numPr>
          <w:ilvl w:val="0"/>
          <w:numId w:val="2"/>
        </w:numPr>
        <w:spacing w:line="240" w:lineRule="auto"/>
        <w:jc w:val="both"/>
        <w:rPr>
          <w:rFonts w:ascii="Times New Roman" w:eastAsia="Times New Roman" w:hAnsi="Times New Roman" w:cs="Times New Roman"/>
        </w:rPr>
      </w:pPr>
      <w:r>
        <w:rPr>
          <w:rFonts w:ascii="Times New Roman" w:eastAsia="Times New Roman" w:hAnsi="Times New Roman" w:cs="Times New Roman"/>
        </w:rPr>
        <w:t>Изображения с редкими (специальными) окрасами (целевой домен).</w:t>
      </w:r>
    </w:p>
    <w:p w:rsidR="00701042" w:rsidRDefault="004651BE">
      <w:pPr>
        <w:spacing w:line="240" w:lineRule="auto"/>
        <w:ind w:firstLine="566"/>
        <w:jc w:val="both"/>
        <w:rPr>
          <w:rFonts w:ascii="Times New Roman" w:eastAsia="Times New Roman" w:hAnsi="Times New Roman" w:cs="Times New Roman"/>
        </w:rPr>
      </w:pPr>
      <w:r>
        <w:rPr>
          <w:rFonts w:ascii="Times New Roman" w:eastAsia="Times New Roman" w:hAnsi="Times New Roman" w:cs="Times New Roman"/>
        </w:rPr>
        <w:t xml:space="preserve">Использование </w:t>
      </w:r>
      <w:proofErr w:type="spellStart"/>
      <w:r>
        <w:rPr>
          <w:rFonts w:ascii="Times New Roman" w:eastAsia="Times New Roman" w:hAnsi="Times New Roman" w:cs="Times New Roman"/>
        </w:rPr>
        <w:t>CycleGAN</w:t>
      </w:r>
      <w:proofErr w:type="spellEnd"/>
      <w:r>
        <w:rPr>
          <w:rFonts w:ascii="Times New Roman" w:eastAsia="Times New Roman" w:hAnsi="Times New Roman" w:cs="Times New Roman"/>
        </w:rPr>
        <w:t xml:space="preserve"> позволило обойти проблему несовпадения областей ткани в парных снимках. На этапе </w:t>
      </w:r>
      <w:proofErr w:type="spellStart"/>
      <w:r>
        <w:rPr>
          <w:rFonts w:ascii="Times New Roman" w:eastAsia="Times New Roman" w:hAnsi="Times New Roman" w:cs="Times New Roman"/>
        </w:rPr>
        <w:t>валидации</w:t>
      </w:r>
      <w:proofErr w:type="spellEnd"/>
      <w:r>
        <w:rPr>
          <w:rFonts w:ascii="Times New Roman" w:eastAsia="Times New Roman" w:hAnsi="Times New Roman" w:cs="Times New Roman"/>
        </w:rPr>
        <w:t xml:space="preserve"> мы получили более стабильные результаты по переносу стиля (в сравнении с классическим GAN), а визуальный анализ показал, что модель действительно научилась воспроизводить характерные паттерны целевой окраски. Для наглядности приводим примеры с преобразованными изображениями (см. рис. 1), где видно, как H&amp;E-снимки трансформируются в «виртуальные» версии редких окрасок.</w:t>
      </w:r>
    </w:p>
    <w:p w:rsidR="00701042" w:rsidRDefault="004651BE">
      <w:pPr>
        <w:spacing w:before="120" w:after="240" w:line="240" w:lineRule="auto"/>
        <w:ind w:firstLine="566"/>
        <w:jc w:val="both"/>
        <w:rPr>
          <w:rFonts w:ascii="Times New Roman" w:eastAsia="Times New Roman" w:hAnsi="Times New Roman" w:cs="Times New Roman"/>
          <w:sz w:val="20"/>
          <w:szCs w:val="20"/>
        </w:rPr>
      </w:pPr>
      <w:r>
        <w:rPr>
          <w:rFonts w:ascii="Gungsuh" w:eastAsia="Gungsuh" w:hAnsi="Gungsuh" w:cs="Gungsuh"/>
          <w:sz w:val="20"/>
          <w:szCs w:val="20"/>
        </w:rPr>
        <w:t xml:space="preserve">Рис. 1. Пример работы алгоритма. Верхний ряд: преобразование H&amp;E-окраски в искусственное окрашивание Ki-67 и обратно в H&amp;E с помощью </w:t>
      </w:r>
      <w:proofErr w:type="spellStart"/>
      <w:r>
        <w:rPr>
          <w:rFonts w:ascii="Gungsuh" w:eastAsia="Gungsuh" w:hAnsi="Gungsuh" w:cs="Gungsuh"/>
          <w:sz w:val="20"/>
          <w:szCs w:val="20"/>
        </w:rPr>
        <w:t>CycleGAN</w:t>
      </w:r>
      <w:proofErr w:type="spellEnd"/>
      <w:r>
        <w:rPr>
          <w:rFonts w:ascii="Gungsuh" w:eastAsia="Gungsuh" w:hAnsi="Gungsuh" w:cs="Gungsuh"/>
          <w:sz w:val="20"/>
          <w:szCs w:val="20"/>
        </w:rPr>
        <w:t xml:space="preserve"> (“H&amp;E → Ki-67 → H&amp;E”). Нижний ряд: аналогичное преобразование для Ki-67 (“Ki-67 → H&amp;E → Ki-67”).</w:t>
      </w:r>
      <w:r>
        <w:rPr>
          <w:noProof/>
          <w:lang w:val="ru-RU"/>
        </w:rPr>
        <w:drawing>
          <wp:anchor distT="114300" distB="114300" distL="114300" distR="114300" simplePos="0" relativeHeight="251658240" behindDoc="0" locked="0" layoutInCell="1" hidden="0" allowOverlap="1">
            <wp:simplePos x="0" y="0"/>
            <wp:positionH relativeFrom="column">
              <wp:posOffset>-1424</wp:posOffset>
            </wp:positionH>
            <wp:positionV relativeFrom="paragraph">
              <wp:posOffset>143619</wp:posOffset>
            </wp:positionV>
            <wp:extent cx="5734050" cy="3813220"/>
            <wp:effectExtent l="0" t="0" r="0" b="0"/>
            <wp:wrapTopAndBottom distT="114300" distB="11430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5734050" cy="3813220"/>
                    </a:xfrm>
                    <a:prstGeom prst="rect">
                      <a:avLst/>
                    </a:prstGeom>
                    <a:ln/>
                  </pic:spPr>
                </pic:pic>
              </a:graphicData>
            </a:graphic>
          </wp:anchor>
        </w:drawing>
      </w:r>
    </w:p>
    <w:p w:rsidR="00701042" w:rsidRDefault="004651BE">
      <w:pPr>
        <w:spacing w:line="240" w:lineRule="auto"/>
        <w:ind w:firstLine="566"/>
        <w:jc w:val="both"/>
        <w:rPr>
          <w:rFonts w:ascii="Times New Roman" w:eastAsia="Times New Roman" w:hAnsi="Times New Roman" w:cs="Times New Roman"/>
        </w:rPr>
      </w:pPr>
      <w:r>
        <w:rPr>
          <w:rFonts w:ascii="Times New Roman" w:eastAsia="Times New Roman" w:hAnsi="Times New Roman" w:cs="Times New Roman"/>
        </w:rPr>
        <w:t>В ходе экспериментов по переносу окраски между H&amp;E и Ki-67 наблюдаются следующие эффекты:</w:t>
      </w:r>
    </w:p>
    <w:p w:rsidR="00701042" w:rsidRDefault="004651BE">
      <w:pPr>
        <w:numPr>
          <w:ilvl w:val="0"/>
          <w:numId w:val="4"/>
        </w:numPr>
        <w:spacing w:line="240" w:lineRule="auto"/>
        <w:jc w:val="both"/>
        <w:rPr>
          <w:rFonts w:ascii="Times New Roman" w:eastAsia="Times New Roman" w:hAnsi="Times New Roman" w:cs="Times New Roman"/>
        </w:rPr>
      </w:pPr>
      <w:r>
        <w:rPr>
          <w:rFonts w:ascii="Times New Roman" w:eastAsia="Times New Roman" w:hAnsi="Times New Roman" w:cs="Times New Roman"/>
        </w:rPr>
        <w:t xml:space="preserve">Неправильная цветовая трансформация: на отдельных изображениях модель иногда «переносит» цветовые области напрямую из H&amp;E на Ki-67, что приводит к некорректной (ложной) покраске (см. рис. 2). Предположительно, эту проблему можно смягчить путем добавления дополнительных ограничений в функцию потерь (англ. </w:t>
      </w:r>
      <w:proofErr w:type="spellStart"/>
      <w:r>
        <w:rPr>
          <w:rFonts w:ascii="Times New Roman" w:eastAsia="Times New Roman" w:hAnsi="Times New Roman" w:cs="Times New Roman"/>
        </w:rPr>
        <w:t>loss</w:t>
      </w:r>
      <w:proofErr w:type="spellEnd"/>
      <w:r>
        <w:rPr>
          <w:rFonts w:ascii="Times New Roman" w:eastAsia="Times New Roman" w:hAnsi="Times New Roman" w:cs="Times New Roman"/>
        </w:rPr>
        <w:t>) — например, посредством регуляризации, снижающей риск «захвата» цветовых паттернов, не имеющих морфологического смысла.</w:t>
      </w:r>
    </w:p>
    <w:p w:rsidR="00701042" w:rsidRDefault="004651BE">
      <w:pPr>
        <w:spacing w:line="240" w:lineRule="auto"/>
        <w:ind w:firstLine="566"/>
        <w:jc w:val="both"/>
        <w:rPr>
          <w:rFonts w:ascii="Times New Roman" w:eastAsia="Times New Roman" w:hAnsi="Times New Roman" w:cs="Times New Roman"/>
        </w:rPr>
      </w:pPr>
      <w:r>
        <w:rPr>
          <w:rFonts w:ascii="Times New Roman" w:eastAsia="Times New Roman" w:hAnsi="Times New Roman" w:cs="Times New Roman"/>
          <w:noProof/>
          <w:lang w:val="ru-RU"/>
        </w:rPr>
        <w:lastRenderedPageBreak/>
        <w:drawing>
          <wp:inline distT="114300" distB="114300" distL="114300" distR="114300">
            <wp:extent cx="5734050" cy="1909204"/>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b="49991"/>
                    <a:stretch>
                      <a:fillRect/>
                    </a:stretch>
                  </pic:blipFill>
                  <pic:spPr>
                    <a:xfrm>
                      <a:off x="0" y="0"/>
                      <a:ext cx="5734050" cy="1909204"/>
                    </a:xfrm>
                    <a:prstGeom prst="rect">
                      <a:avLst/>
                    </a:prstGeom>
                    <a:ln/>
                  </pic:spPr>
                </pic:pic>
              </a:graphicData>
            </a:graphic>
          </wp:inline>
        </w:drawing>
      </w:r>
    </w:p>
    <w:p w:rsidR="00701042" w:rsidRDefault="004651BE">
      <w:pPr>
        <w:spacing w:before="120" w:after="240" w:line="240" w:lineRule="auto"/>
        <w:ind w:firstLine="566"/>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Рис. 2. Пример неправильной цветовой трансформации.</w:t>
      </w:r>
    </w:p>
    <w:p w:rsidR="00701042" w:rsidRDefault="004651BE">
      <w:pPr>
        <w:numPr>
          <w:ilvl w:val="0"/>
          <w:numId w:val="4"/>
        </w:numPr>
        <w:spacing w:line="240" w:lineRule="auto"/>
        <w:jc w:val="both"/>
        <w:rPr>
          <w:rFonts w:ascii="Times New Roman" w:eastAsia="Times New Roman" w:hAnsi="Times New Roman" w:cs="Times New Roman"/>
        </w:rPr>
      </w:pPr>
      <w:r>
        <w:rPr>
          <w:rFonts w:ascii="Gungsuh" w:eastAsia="Gungsuh" w:hAnsi="Gungsuh" w:cs="Gungsuh"/>
        </w:rPr>
        <w:t>Успешное сохранение основных цветов на большинстве клеток: на образцах рис. 1 хорошо видно, что синие клетки преимущественно остаются синими, а коричневые — коричневыми при преобразованиях «Ki-67 → H&amp;E → Ki-67». Это свидетельствует о том, что модель в целом корректно улавливает цветовую дифференциацию и возвращает клетки к исходному цвету при двойном переходе. Такой результат можно считать значимым успехом, поскольку показывает стабильность переноса в обе стороны.</w:t>
      </w:r>
    </w:p>
    <w:p w:rsidR="00701042" w:rsidRDefault="004651BE">
      <w:pPr>
        <w:numPr>
          <w:ilvl w:val="0"/>
          <w:numId w:val="4"/>
        </w:numPr>
        <w:spacing w:line="240" w:lineRule="auto"/>
        <w:jc w:val="both"/>
        <w:rPr>
          <w:rFonts w:ascii="Times New Roman" w:eastAsia="Times New Roman" w:hAnsi="Times New Roman" w:cs="Times New Roman"/>
        </w:rPr>
      </w:pPr>
      <w:r>
        <w:rPr>
          <w:rFonts w:ascii="Times New Roman" w:eastAsia="Times New Roman" w:hAnsi="Times New Roman" w:cs="Times New Roman"/>
        </w:rPr>
        <w:t xml:space="preserve">Зависимость от наличия структуры в данных: отдельные изображения демонстрируют, что, если изначальный снимок Ki-67 не содержит чётко выраженной структуры или контрастности, модель не справляется с окрашиванием, порождая артефакты. Следовательно, чем лучше выражена структурность в исходном </w:t>
      </w:r>
      <w:proofErr w:type="spellStart"/>
      <w:r>
        <w:rPr>
          <w:rFonts w:ascii="Times New Roman" w:eastAsia="Times New Roman" w:hAnsi="Times New Roman" w:cs="Times New Roman"/>
        </w:rPr>
        <w:t>датасете</w:t>
      </w:r>
      <w:proofErr w:type="spellEnd"/>
      <w:r>
        <w:rPr>
          <w:rFonts w:ascii="Times New Roman" w:eastAsia="Times New Roman" w:hAnsi="Times New Roman" w:cs="Times New Roman"/>
        </w:rPr>
        <w:t>, тем более стабильным будет результат переноса.</w:t>
      </w:r>
    </w:p>
    <w:p w:rsidR="00701042" w:rsidRDefault="004651BE">
      <w:pPr>
        <w:spacing w:line="240" w:lineRule="auto"/>
        <w:ind w:firstLine="566"/>
        <w:jc w:val="both"/>
        <w:rPr>
          <w:rFonts w:ascii="Times New Roman" w:eastAsia="Times New Roman" w:hAnsi="Times New Roman" w:cs="Times New Roman"/>
          <w:color w:val="374151"/>
        </w:rPr>
      </w:pPr>
      <w:r>
        <w:rPr>
          <w:rFonts w:ascii="Times New Roman" w:eastAsia="Times New Roman" w:hAnsi="Times New Roman" w:cs="Times New Roman"/>
          <w:noProof/>
          <w:color w:val="374151"/>
          <w:lang w:val="ru-RU"/>
        </w:rPr>
        <w:drawing>
          <wp:inline distT="114300" distB="114300" distL="114300" distR="114300">
            <wp:extent cx="5734050" cy="1906656"/>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b="50081"/>
                    <a:stretch>
                      <a:fillRect/>
                    </a:stretch>
                  </pic:blipFill>
                  <pic:spPr>
                    <a:xfrm>
                      <a:off x="0" y="0"/>
                      <a:ext cx="5734050" cy="1906656"/>
                    </a:xfrm>
                    <a:prstGeom prst="rect">
                      <a:avLst/>
                    </a:prstGeom>
                    <a:ln/>
                  </pic:spPr>
                </pic:pic>
              </a:graphicData>
            </a:graphic>
          </wp:inline>
        </w:drawing>
      </w:r>
    </w:p>
    <w:p w:rsidR="00701042" w:rsidRDefault="004651BE">
      <w:pPr>
        <w:spacing w:before="120" w:after="240" w:line="240" w:lineRule="auto"/>
        <w:ind w:firstLine="566"/>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Рис. 3. Пример зависимости от структурированных данных.</w:t>
      </w:r>
    </w:p>
    <w:p w:rsidR="00701042" w:rsidRDefault="004651BE">
      <w:pPr>
        <w:spacing w:line="240" w:lineRule="auto"/>
        <w:ind w:firstLine="566"/>
        <w:jc w:val="both"/>
        <w:rPr>
          <w:rFonts w:ascii="Times New Roman" w:eastAsia="Times New Roman" w:hAnsi="Times New Roman" w:cs="Times New Roman"/>
        </w:rPr>
      </w:pPr>
      <w:r>
        <w:rPr>
          <w:rFonts w:ascii="Times New Roman" w:eastAsia="Times New Roman" w:hAnsi="Times New Roman" w:cs="Times New Roman"/>
        </w:rPr>
        <w:t xml:space="preserve">Дальнейшие пути развития метода включают как оптимизацию процесса обучения (точный подбор </w:t>
      </w:r>
      <w:proofErr w:type="spellStart"/>
      <w:r>
        <w:rPr>
          <w:rFonts w:ascii="Times New Roman" w:eastAsia="Times New Roman" w:hAnsi="Times New Roman" w:cs="Times New Roman"/>
        </w:rPr>
        <w:t>гиперпараметров</w:t>
      </w:r>
      <w:proofErr w:type="spellEnd"/>
      <w:r>
        <w:rPr>
          <w:rFonts w:ascii="Times New Roman" w:eastAsia="Times New Roman" w:hAnsi="Times New Roman" w:cs="Times New Roman"/>
        </w:rPr>
        <w:t xml:space="preserve">, дополнительная регуляризация), так и расширение </w:t>
      </w:r>
      <w:proofErr w:type="spellStart"/>
      <w:r>
        <w:rPr>
          <w:rFonts w:ascii="Times New Roman" w:eastAsia="Times New Roman" w:hAnsi="Times New Roman" w:cs="Times New Roman"/>
        </w:rPr>
        <w:t>датасета</w:t>
      </w:r>
      <w:proofErr w:type="spellEnd"/>
      <w:r>
        <w:rPr>
          <w:rFonts w:ascii="Times New Roman" w:eastAsia="Times New Roman" w:hAnsi="Times New Roman" w:cs="Times New Roman"/>
        </w:rPr>
        <w:t xml:space="preserve"> и применение специфических методов аугментации. В перспективе это позволит уменьшить ложный перенос цвета и улучшить «чувствительность» сети к морфологическим особенностям.</w:t>
      </w:r>
    </w:p>
    <w:p w:rsidR="00701042" w:rsidRDefault="004651BE">
      <w:pPr>
        <w:spacing w:before="240" w:after="120" w:line="240" w:lineRule="auto"/>
        <w:jc w:val="center"/>
        <w:rPr>
          <w:rFonts w:ascii="Times New Roman" w:eastAsia="Times New Roman" w:hAnsi="Times New Roman" w:cs="Times New Roman"/>
          <w:b/>
        </w:rPr>
      </w:pPr>
      <w:r>
        <w:rPr>
          <w:rFonts w:ascii="Times New Roman" w:eastAsia="Times New Roman" w:hAnsi="Times New Roman" w:cs="Times New Roman"/>
          <w:b/>
        </w:rPr>
        <w:t>Литература</w:t>
      </w:r>
    </w:p>
    <w:p w:rsidR="00701042" w:rsidRPr="004651BE" w:rsidRDefault="004651BE">
      <w:pPr>
        <w:numPr>
          <w:ilvl w:val="0"/>
          <w:numId w:val="5"/>
        </w:numPr>
        <w:spacing w:line="240" w:lineRule="auto"/>
        <w:ind w:left="498" w:hanging="357"/>
        <w:rPr>
          <w:rFonts w:ascii="Times New Roman" w:eastAsia="Times New Roman" w:hAnsi="Times New Roman" w:cs="Times New Roman"/>
          <w:sz w:val="20"/>
          <w:szCs w:val="20"/>
          <w:lang w:val="en-US"/>
        </w:rPr>
      </w:pPr>
      <w:proofErr w:type="gramStart"/>
      <w:r w:rsidRPr="004651BE">
        <w:rPr>
          <w:rFonts w:ascii="Times New Roman" w:eastAsia="Times New Roman" w:hAnsi="Times New Roman" w:cs="Times New Roman"/>
          <w:i/>
          <w:sz w:val="20"/>
          <w:szCs w:val="20"/>
          <w:lang w:val="en-US"/>
        </w:rPr>
        <w:t>de</w:t>
      </w:r>
      <w:proofErr w:type="gramEnd"/>
      <w:r w:rsidRPr="004651BE">
        <w:rPr>
          <w:rFonts w:ascii="Times New Roman" w:eastAsia="Times New Roman" w:hAnsi="Times New Roman" w:cs="Times New Roman"/>
          <w:i/>
          <w:sz w:val="20"/>
          <w:szCs w:val="20"/>
          <w:lang w:val="en-US"/>
        </w:rPr>
        <w:t xml:space="preserve"> </w:t>
      </w:r>
      <w:proofErr w:type="spellStart"/>
      <w:r w:rsidRPr="004651BE">
        <w:rPr>
          <w:rFonts w:ascii="Times New Roman" w:eastAsia="Times New Roman" w:hAnsi="Times New Roman" w:cs="Times New Roman"/>
          <w:i/>
          <w:sz w:val="20"/>
          <w:szCs w:val="20"/>
          <w:lang w:val="en-US"/>
        </w:rPr>
        <w:t>Haan</w:t>
      </w:r>
      <w:proofErr w:type="spellEnd"/>
      <w:r w:rsidRPr="004651BE">
        <w:rPr>
          <w:rFonts w:ascii="Times New Roman" w:eastAsia="Times New Roman" w:hAnsi="Times New Roman" w:cs="Times New Roman"/>
          <w:i/>
          <w:sz w:val="20"/>
          <w:szCs w:val="20"/>
          <w:lang w:val="en-US"/>
        </w:rPr>
        <w:t xml:space="preserve"> K. [et al]</w:t>
      </w:r>
      <w:r w:rsidRPr="004651BE">
        <w:rPr>
          <w:rFonts w:ascii="Times New Roman" w:eastAsia="Times New Roman" w:hAnsi="Times New Roman" w:cs="Times New Roman"/>
          <w:sz w:val="20"/>
          <w:szCs w:val="20"/>
          <w:lang w:val="en-US"/>
        </w:rPr>
        <w:t>. Deep learning-based transformation of H&amp;E stained tissues into special stains // Nature communications. – 2021. – V. 12(1). – P. 4884.</w:t>
      </w:r>
    </w:p>
    <w:p w:rsidR="00701042" w:rsidRPr="004651BE" w:rsidRDefault="004651BE">
      <w:pPr>
        <w:numPr>
          <w:ilvl w:val="0"/>
          <w:numId w:val="5"/>
        </w:numPr>
        <w:spacing w:line="240" w:lineRule="auto"/>
        <w:ind w:left="498" w:hanging="357"/>
        <w:rPr>
          <w:rFonts w:ascii="Times New Roman" w:eastAsia="Times New Roman" w:hAnsi="Times New Roman" w:cs="Times New Roman"/>
          <w:sz w:val="20"/>
          <w:szCs w:val="20"/>
          <w:lang w:val="en-US"/>
        </w:rPr>
      </w:pPr>
      <w:r w:rsidRPr="004651BE">
        <w:rPr>
          <w:rFonts w:ascii="Times New Roman" w:eastAsia="Times New Roman" w:hAnsi="Times New Roman" w:cs="Times New Roman"/>
          <w:i/>
          <w:sz w:val="20"/>
          <w:szCs w:val="20"/>
          <w:lang w:val="en-US"/>
        </w:rPr>
        <w:t>Li Y. [et al]</w:t>
      </w:r>
      <w:r w:rsidRPr="004651BE">
        <w:rPr>
          <w:rFonts w:ascii="Times New Roman" w:eastAsia="Times New Roman" w:hAnsi="Times New Roman" w:cs="Times New Roman"/>
          <w:sz w:val="20"/>
          <w:szCs w:val="20"/>
          <w:lang w:val="en-US"/>
        </w:rPr>
        <w:t>. Virtual histological staining of unlabeled autopsy tissue // Nature Communications. – 2024. – V. 15(1). – P. 1684.</w:t>
      </w:r>
    </w:p>
    <w:p w:rsidR="00701042" w:rsidRPr="004651BE" w:rsidRDefault="004651BE">
      <w:pPr>
        <w:numPr>
          <w:ilvl w:val="0"/>
          <w:numId w:val="5"/>
        </w:numPr>
        <w:spacing w:line="240" w:lineRule="auto"/>
        <w:ind w:left="498" w:hanging="357"/>
        <w:rPr>
          <w:rFonts w:ascii="Times New Roman" w:eastAsia="Times New Roman" w:hAnsi="Times New Roman" w:cs="Times New Roman"/>
          <w:sz w:val="20"/>
          <w:szCs w:val="20"/>
          <w:lang w:val="en-US"/>
        </w:rPr>
      </w:pPr>
      <w:proofErr w:type="spellStart"/>
      <w:r w:rsidRPr="004651BE">
        <w:rPr>
          <w:rFonts w:ascii="Times New Roman" w:eastAsia="Times New Roman" w:hAnsi="Times New Roman" w:cs="Times New Roman"/>
          <w:i/>
          <w:sz w:val="20"/>
          <w:szCs w:val="20"/>
          <w:lang w:val="en-US"/>
        </w:rPr>
        <w:t>Nygate</w:t>
      </w:r>
      <w:proofErr w:type="spellEnd"/>
      <w:r w:rsidRPr="004651BE">
        <w:rPr>
          <w:rFonts w:ascii="Times New Roman" w:eastAsia="Times New Roman" w:hAnsi="Times New Roman" w:cs="Times New Roman"/>
          <w:i/>
          <w:sz w:val="20"/>
          <w:szCs w:val="20"/>
          <w:lang w:val="en-US"/>
        </w:rPr>
        <w:t xml:space="preserve"> Y. N. [et al]</w:t>
      </w:r>
      <w:r w:rsidRPr="004651BE">
        <w:rPr>
          <w:rFonts w:ascii="Times New Roman" w:eastAsia="Times New Roman" w:hAnsi="Times New Roman" w:cs="Times New Roman"/>
          <w:sz w:val="20"/>
          <w:szCs w:val="20"/>
          <w:lang w:val="en-US"/>
        </w:rPr>
        <w:t>. Holographic virtual staining of individual biological cells // Proceedings of the National Academy of Sciences. – 2020. – V. 117(17). – P. 9223-9231.</w:t>
      </w:r>
    </w:p>
    <w:p w:rsidR="00701042" w:rsidRPr="004651BE" w:rsidRDefault="004651BE">
      <w:pPr>
        <w:numPr>
          <w:ilvl w:val="0"/>
          <w:numId w:val="5"/>
        </w:numPr>
        <w:spacing w:line="240" w:lineRule="auto"/>
        <w:ind w:left="498" w:hanging="357"/>
        <w:rPr>
          <w:rFonts w:ascii="Times New Roman" w:eastAsia="Times New Roman" w:hAnsi="Times New Roman" w:cs="Times New Roman"/>
          <w:sz w:val="20"/>
          <w:szCs w:val="20"/>
          <w:lang w:val="en-US"/>
        </w:rPr>
      </w:pPr>
      <w:r w:rsidRPr="004651BE">
        <w:rPr>
          <w:rFonts w:ascii="Times New Roman" w:eastAsia="Times New Roman" w:hAnsi="Times New Roman" w:cs="Times New Roman"/>
          <w:i/>
          <w:sz w:val="20"/>
          <w:szCs w:val="20"/>
          <w:lang w:val="en-US"/>
        </w:rPr>
        <w:t>Zhu J. Y. [et al]</w:t>
      </w:r>
      <w:r w:rsidRPr="004651BE">
        <w:rPr>
          <w:rFonts w:ascii="Times New Roman" w:eastAsia="Times New Roman" w:hAnsi="Times New Roman" w:cs="Times New Roman"/>
          <w:sz w:val="20"/>
          <w:szCs w:val="20"/>
          <w:lang w:val="en-US"/>
        </w:rPr>
        <w:t>. Unpaired image-to-image translation using cycle-consistent adversarial networks // Proceedings of the IEEE international conference on computer vision. – 2017. – P. 2223-2232.</w:t>
      </w:r>
    </w:p>
    <w:sectPr w:rsidR="00701042" w:rsidRPr="004651BE">
      <w:footerReference w:type="default" r:id="rId10"/>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455E4" w:rsidRDefault="009455E4">
      <w:pPr>
        <w:spacing w:line="240" w:lineRule="auto"/>
      </w:pPr>
      <w:r>
        <w:separator/>
      </w:r>
    </w:p>
  </w:endnote>
  <w:endnote w:type="continuationSeparator" w:id="0">
    <w:p w:rsidR="009455E4" w:rsidRDefault="009455E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Gungsuh">
    <w:altName w:val="Times New Roman"/>
    <w:charset w:val="00"/>
    <w:family w:val="auto"/>
    <w:pitch w:val="default"/>
  </w:font>
  <w:font w:name="Calibri">
    <w:panose1 w:val="020F0502020204030204"/>
    <w:charset w:val="CC"/>
    <w:family w:val="swiss"/>
    <w:pitch w:val="variable"/>
    <w:sig w:usb0="E4002EFF" w:usb1="C2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1042" w:rsidRDefault="00701042"/>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455E4" w:rsidRDefault="009455E4">
      <w:pPr>
        <w:spacing w:line="240" w:lineRule="auto"/>
      </w:pPr>
      <w:r>
        <w:separator/>
      </w:r>
    </w:p>
  </w:footnote>
  <w:footnote w:type="continuationSeparator" w:id="0">
    <w:p w:rsidR="009455E4" w:rsidRDefault="009455E4">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6D2B1F"/>
    <w:multiLevelType w:val="multilevel"/>
    <w:tmpl w:val="19B21E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34E61960"/>
    <w:multiLevelType w:val="multilevel"/>
    <w:tmpl w:val="4956EE5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nsid w:val="5522347C"/>
    <w:multiLevelType w:val="multilevel"/>
    <w:tmpl w:val="8F6CAA2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nsid w:val="6F2F1CDC"/>
    <w:multiLevelType w:val="multilevel"/>
    <w:tmpl w:val="A44EF4C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nsid w:val="7C9771BA"/>
    <w:multiLevelType w:val="multilevel"/>
    <w:tmpl w:val="934A019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2"/>
  </w:num>
  <w:num w:numId="2">
    <w:abstractNumId w:val="4"/>
  </w:num>
  <w:num w:numId="3">
    <w:abstractNumId w:val="0"/>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1042"/>
    <w:rsid w:val="004651BE"/>
    <w:rsid w:val="00701042"/>
    <w:rsid w:val="009455E4"/>
    <w:rsid w:val="00DE437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C7C8420-1F84-4820-B684-5C17587127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ru" w:eastAsia="ru-RU"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style>
  <w:style w:type="paragraph" w:styleId="1">
    <w:name w:val="heading 1"/>
    <w:basedOn w:val="a"/>
    <w:next w:val="a"/>
    <w:pPr>
      <w:keepNext/>
      <w:keepLines/>
      <w:spacing w:before="400" w:after="120"/>
      <w:outlineLvl w:val="0"/>
    </w:pPr>
    <w:rPr>
      <w:sz w:val="40"/>
      <w:szCs w:val="40"/>
    </w:rPr>
  </w:style>
  <w:style w:type="paragraph" w:styleId="2">
    <w:name w:val="heading 2"/>
    <w:basedOn w:val="a"/>
    <w:next w:val="a"/>
    <w:pPr>
      <w:keepNext/>
      <w:keepLines/>
      <w:spacing w:before="360" w:after="120"/>
      <w:outlineLvl w:val="1"/>
    </w:pPr>
    <w:rPr>
      <w:sz w:val="32"/>
      <w:szCs w:val="32"/>
    </w:rPr>
  </w:style>
  <w:style w:type="paragraph" w:styleId="3">
    <w:name w:val="heading 3"/>
    <w:basedOn w:val="a"/>
    <w:next w:val="a"/>
    <w:pPr>
      <w:keepNext/>
      <w:keepLines/>
      <w:spacing w:before="320" w:after="80"/>
      <w:outlineLvl w:val="2"/>
    </w:pPr>
    <w:rPr>
      <w:color w:val="434343"/>
      <w:sz w:val="28"/>
      <w:szCs w:val="28"/>
    </w:rPr>
  </w:style>
  <w:style w:type="paragraph" w:styleId="4">
    <w:name w:val="heading 4"/>
    <w:basedOn w:val="a"/>
    <w:next w:val="a"/>
    <w:pPr>
      <w:keepNext/>
      <w:keepLines/>
      <w:spacing w:before="280" w:after="80"/>
      <w:outlineLvl w:val="3"/>
    </w:pPr>
    <w:rPr>
      <w:color w:val="666666"/>
      <w:sz w:val="24"/>
      <w:szCs w:val="24"/>
    </w:rPr>
  </w:style>
  <w:style w:type="paragraph" w:styleId="5">
    <w:name w:val="heading 5"/>
    <w:basedOn w:val="a"/>
    <w:next w:val="a"/>
    <w:pPr>
      <w:keepNext/>
      <w:keepLines/>
      <w:spacing w:before="240" w:after="80"/>
      <w:outlineLvl w:val="4"/>
    </w:pPr>
    <w:rPr>
      <w:color w:val="666666"/>
    </w:rPr>
  </w:style>
  <w:style w:type="paragraph" w:styleId="6">
    <w:name w:val="heading 6"/>
    <w:basedOn w:val="a"/>
    <w:next w:val="a"/>
    <w:pPr>
      <w:keepNext/>
      <w:keepLines/>
      <w:spacing w:before="240" w:after="80"/>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after="60"/>
    </w:pPr>
    <w:rPr>
      <w:sz w:val="52"/>
      <w:szCs w:val="52"/>
    </w:rPr>
  </w:style>
  <w:style w:type="paragraph" w:styleId="a4">
    <w:name w:val="Subtitle"/>
    <w:basedOn w:val="a"/>
    <w:next w:val="a"/>
    <w:pPr>
      <w:keepNext/>
      <w:keepLines/>
      <w:spacing w:after="320"/>
    </w:pPr>
    <w:rPr>
      <w:color w:val="666666"/>
      <w:sz w:val="30"/>
      <w:szCs w:val="30"/>
    </w:rPr>
  </w:style>
  <w:style w:type="character" w:styleId="a5">
    <w:name w:val="Placeholder Text"/>
    <w:basedOn w:val="a0"/>
    <w:uiPriority w:val="99"/>
    <w:semiHidden/>
    <w:rsid w:val="004651BE"/>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1</Pages>
  <Words>1094</Words>
  <Characters>6237</Characters>
  <Application>Microsoft Office Word</Application>
  <DocSecurity>0</DocSecurity>
  <Lines>51</Lines>
  <Paragraphs>14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7317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Учетная запись Майкрософт</dc:creator>
  <cp:keywords/>
  <dc:description/>
  <cp:lastModifiedBy>Учетная запись Майкрософт</cp:lastModifiedBy>
  <cp:revision>2</cp:revision>
  <dcterms:created xsi:type="dcterms:W3CDTF">2025-03-23T18:40:00Z</dcterms:created>
  <dcterms:modified xsi:type="dcterms:W3CDTF">2025-03-23T18:47:00Z</dcterms:modified>
</cp:coreProperties>
</file>