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  <w:t>УДК 004.021, 004.023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реализаций симплекс-метода в решателях с открытым кодом</w:t>
      </w:r>
    </w:p>
    <w:p>
      <w:pPr>
        <w:pStyle w:val="Normal1"/>
        <w:spacing w:lineRule="auto" w:line="240" w:before="240" w:after="240"/>
        <w:jc w:val="center"/>
        <w:rPr>
          <w:i/>
          <w:i/>
          <w:iCs/>
        </w:rPr>
      </w:pPr>
      <w:r>
        <w:rPr>
          <w:b/>
          <w:i/>
          <w:iCs/>
          <w:sz w:val="26"/>
          <w:szCs w:val="26"/>
        </w:rPr>
        <w:t>Д.A. Лейбман, Е.C. Федоренко, Р. Хильдебранд</w:t>
      </w:r>
    </w:p>
    <w:p>
      <w:pPr>
        <w:pStyle w:val="Normal1"/>
        <w:shd w:val="clear" w:fill="FFFFFF"/>
        <w:spacing w:lineRule="auto" w:line="240" w:before="240" w:after="240"/>
        <w:jc w:val="center"/>
        <w:rPr>
          <w:sz w:val="22"/>
          <w:szCs w:val="22"/>
        </w:rPr>
      </w:pPr>
      <w:r>
        <w:rPr>
          <w:sz w:val="22"/>
          <w:szCs w:val="22"/>
        </w:rPr>
        <w:t>Московский физико-технический институт (национальный исследовательский университет)</w:t>
      </w:r>
    </w:p>
    <w:p>
      <w:pPr>
        <w:pStyle w:val="Normal1"/>
        <w:shd w:val="clear" w:fill="FFFFFF"/>
        <w:rPr>
          <w:sz w:val="24"/>
          <w:szCs w:val="24"/>
        </w:rPr>
      </w:pPr>
      <w:r>
        <w:rPr>
          <w:sz w:val="24"/>
          <w:szCs w:val="24"/>
        </w:rPr>
        <w:t xml:space="preserve">Симплекс-метод является основным низкоуровневым алгоритмом, используемым в методах типа ветвей и границ для решения сложных промышленных проблем оптимизации, формализуемых в виде целочисленных линейных программ. Несмотря на то, что теория   симплекс-метода была разработана ещё десятилетия тому назад, его практическая реализация сталкивается с рядом проблем, в основном численного характера. Из-за  </w:t>
      </w:r>
    </w:p>
    <w:p>
      <w:pPr>
        <w:pStyle w:val="Normal1"/>
        <w:shd w:val="clear" w:fill="FFFFFF"/>
        <w:rPr>
          <w:sz w:val="24"/>
          <w:szCs w:val="24"/>
        </w:rPr>
      </w:pPr>
      <w:r>
        <w:rPr>
          <w:sz w:val="24"/>
          <w:szCs w:val="24"/>
        </w:rPr>
        <w:t>технического характера этих проблем отражение подходов к их решению не носит систематический характер.</w:t>
      </w:r>
    </w:p>
    <w:p>
      <w:pPr>
        <w:pStyle w:val="Normal1"/>
        <w:shd w:val="clear" w:fill="FFFFFF"/>
        <w:spacing w:lineRule="auto" w:line="240" w:before="240" w:after="240"/>
        <w:ind w:hanging="0" w:left="0"/>
        <w:rPr>
          <w:sz w:val="24"/>
          <w:szCs w:val="24"/>
        </w:rPr>
      </w:pPr>
      <w:r>
        <w:rPr>
          <w:sz w:val="24"/>
          <w:szCs w:val="24"/>
        </w:rPr>
        <w:t>При реализации симплекс-метода возникают следующие трудности: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="240" w:afterAutospacing="0" w:after="0"/>
        <w:ind w:hanging="360" w:left="720"/>
        <w:rPr>
          <w:sz w:val="24"/>
          <w:szCs w:val="24"/>
        </w:rPr>
      </w:pPr>
      <w:r>
        <w:rPr>
          <w:sz w:val="24"/>
          <w:szCs w:val="24"/>
        </w:rPr>
        <w:t xml:space="preserve">Множество проблем численного характера. 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Autospacing="0" w:after="0"/>
        <w:ind w:hanging="360" w:left="720"/>
        <w:rPr>
          <w:sz w:val="24"/>
          <w:szCs w:val="24"/>
        </w:rPr>
      </w:pPr>
      <w:r>
        <w:rPr>
          <w:sz w:val="24"/>
          <w:szCs w:val="24"/>
        </w:rPr>
        <w:t>Не систематизированный подход к решению этих проблем.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Autospacing="0" w:after="0"/>
        <w:ind w:hanging="360" w:left="720"/>
        <w:rPr>
          <w:sz w:val="24"/>
          <w:szCs w:val="24"/>
        </w:rPr>
      </w:pPr>
      <w:r>
        <w:rPr>
          <w:sz w:val="24"/>
          <w:szCs w:val="24"/>
        </w:rPr>
        <w:t>Нулевые pivot элементы в LU разложении.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Autospacing="0" w:after="0"/>
        <w:ind w:hanging="360" w:left="72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Корректный выбор входящих и выходящих элементов базиса. 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Autospacing="0" w:after="0"/>
        <w:ind w:hanging="360" w:left="720"/>
        <w:rPr>
          <w:sz w:val="24"/>
          <w:szCs w:val="24"/>
        </w:rPr>
      </w:pPr>
      <w:r>
        <w:rPr>
          <w:sz w:val="24"/>
          <w:szCs w:val="24"/>
        </w:rPr>
        <w:t>Хранение большого разложения матрицы базисных столбцов и необходимость его периодического пересчета.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Autospacing="0" w:after="0"/>
        <w:ind w:hanging="360" w:left="720"/>
        <w:rPr>
          <w:sz w:val="24"/>
          <w:szCs w:val="24"/>
        </w:rPr>
      </w:pPr>
      <w:r>
        <w:rPr>
          <w:sz w:val="24"/>
          <w:szCs w:val="24"/>
        </w:rPr>
        <w:t>Потеря прямой или двойственной допустимости при пересчете разложения базисной матрицы.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Autospacing="0" w:after="0"/>
        <w:ind w:hanging="360" w:left="720"/>
        <w:rPr>
          <w:sz w:val="24"/>
          <w:szCs w:val="24"/>
        </w:rPr>
      </w:pPr>
      <w:r>
        <w:rPr>
          <w:sz w:val="24"/>
          <w:szCs w:val="24"/>
        </w:rPr>
        <w:t>Зацикливание симплекс-метода.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="240"/>
        <w:ind w:hanging="360" w:left="720"/>
        <w:rPr>
          <w:sz w:val="24"/>
          <w:szCs w:val="24"/>
          <w:u w:val="none"/>
        </w:rPr>
      </w:pPr>
      <w:r>
        <w:rPr>
          <w:sz w:val="24"/>
          <w:szCs w:val="24"/>
        </w:rPr>
        <w:t>Большие затраты памяти на хранение разреженных матриц при использовании стандартных структур данных</w:t>
      </w:r>
      <w:r>
        <w:rPr>
          <w:sz w:val="24"/>
          <w:szCs w:val="24"/>
          <w:u w:val="none"/>
        </w:rPr>
        <w:t>.</w:t>
      </w:r>
    </w:p>
    <w:p>
      <w:pPr>
        <w:pStyle w:val="Normal1"/>
        <w:shd w:val="clear" w:fill="FFFFFF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В рамках работы были проанализированы 5 решателей: HiGHS, GLPK, Lpsolve, COINOR, ZIMPL. На их примере рассмотрены способы решения проблем, возникающих в симплекс-методе.</w:t>
      </w:r>
    </w:p>
    <w:p>
      <w:pPr>
        <w:pStyle w:val="Normal1"/>
        <w:shd w:val="clear" w:fill="FFFFFF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В работе был подробно рассмотрен решатель HiGHS. В нём были найдены несколько особенных приемов для избавления от зацикливания симплекс-метода, выбора опорного элемента при LU разложении [2], усовершенствование отдельных шагов симплекс-метода для разреженных матриц [3]. В рамках работы был найден интересный способ повышения точности метода с помощью хранения чисел в виде пар переменных типа double [1].</w:t>
      </w:r>
    </w:p>
    <w:p>
      <w:pPr>
        <w:pStyle w:val="Normal1"/>
        <w:shd w:val="clear" w:fill="FFFFFF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 xml:space="preserve">Также в работе был проанализирован решатель GLPK. В нём некоторые методы дублировали методы из решателя HiGHS. Из новых методов можно отметить LU разложение для разреженных блочно-треугольных матриц, методы обновления столбцов в FHV разложении для сохранения разреженности в разложении [5]. Также в LU разложении было использован собственный метод ускорения выбора опорного элемента. </w:t>
      </w:r>
    </w:p>
    <w:p>
      <w:pPr>
        <w:pStyle w:val="Normal1"/>
        <w:shd w:val="clear" w:fill="FFFFFF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В работе был проведен сравнительный анализ 5 </w:t>
      </w:r>
      <w:r>
        <w:rPr>
          <w:sz w:val="24"/>
          <w:szCs w:val="24"/>
        </w:rPr>
        <w:t>решателей</w:t>
      </w:r>
      <w:r>
        <w:rPr>
          <w:sz w:val="24"/>
          <w:szCs w:val="24"/>
        </w:rPr>
        <w:t xml:space="preserve"> и выбор самых интересных приёмов для решения различных проблем реализации симплекс-метода. </w:t>
      </w:r>
    </w:p>
    <w:p>
      <w:pPr>
        <w:pStyle w:val="Literature"/>
        <w:rPr/>
      </w:pPr>
      <w:r>
        <w:rPr/>
        <w:t>Литература</w:t>
      </w:r>
    </w:p>
    <w:p>
      <w:pPr>
        <w:pStyle w:val="References"/>
        <w:numPr>
          <w:ilvl w:val="0"/>
          <w:numId w:val="3"/>
        </w:numPr>
        <w:rPr/>
      </w:pPr>
      <w:r>
        <w:rPr>
          <w:i/>
          <w:iCs/>
          <w:shd w:fill="FFFFFF" w:val="clear"/>
        </w:rPr>
        <w:t>Rump, Siegfried</w:t>
      </w:r>
      <w:r>
        <w:rPr>
          <w:shd w:fill="FFFFFF" w:val="clear"/>
        </w:rPr>
        <w:t xml:space="preserve">. (2005). High precision evaluation of nonlinear functions. </w:t>
      </w:r>
    </w:p>
    <w:p>
      <w:pPr>
        <w:pStyle w:val="References"/>
        <w:numPr>
          <w:ilvl w:val="0"/>
          <w:numId w:val="9"/>
        </w:numPr>
        <w:rPr/>
      </w:pPr>
      <w:r>
        <w:rPr>
          <w:i/>
          <w:iCs/>
          <w:shd w:fill="FFFFFF" w:val="clear"/>
        </w:rPr>
        <w:t>Suhl, U. H., Suhl, L. M</w:t>
      </w:r>
      <w:r>
        <w:rPr>
          <w:shd w:fill="FFFFFF" w:val="clear"/>
        </w:rPr>
        <w:t xml:space="preserve">. (1990). </w:t>
      </w:r>
      <w:r>
        <w:rPr>
          <w:i w:val="false"/>
          <w:iCs w:val="false"/>
          <w:shd w:fill="FFFFFF" w:val="clear"/>
        </w:rPr>
        <w:t>Computing Sparse LU Factorizations for Large-Scale Linear Programming Bases. ORSA Journal on Computing</w:t>
      </w:r>
      <w:r>
        <w:rPr>
          <w:i/>
          <w:shd w:fill="FFFFFF" w:val="clear"/>
        </w:rPr>
        <w:t xml:space="preserve">, </w:t>
      </w:r>
      <w:r>
        <w:rPr>
          <w:i w:val="false"/>
          <w:iCs w:val="false"/>
          <w:shd w:fill="FFFFFF" w:val="clear"/>
        </w:rPr>
        <w:t>2(4), 325–335.</w:t>
      </w:r>
    </w:p>
    <w:p>
      <w:pPr>
        <w:pStyle w:val="References"/>
        <w:numPr>
          <w:ilvl w:val="0"/>
          <w:numId w:val="10"/>
        </w:numPr>
        <w:rPr/>
      </w:pPr>
      <w:r>
        <w:rPr>
          <w:i/>
          <w:iCs/>
          <w:shd w:fill="FFFFFF" w:val="clear"/>
        </w:rPr>
        <w:t>Hall, J.A.J., McKinnon, K.I.M</w:t>
      </w:r>
      <w:r>
        <w:rPr>
          <w:i/>
          <w:shd w:fill="FFFFFF" w:val="clear"/>
        </w:rPr>
        <w:t xml:space="preserve">. </w:t>
      </w:r>
      <w:r>
        <w:rPr>
          <w:i w:val="false"/>
          <w:iCs w:val="false"/>
          <w:shd w:fill="FFFFFF" w:val="clear"/>
        </w:rPr>
        <w:t xml:space="preserve">Hyper-Sparsity in the Revised Simplex Method and How to Exploit it. Comput Optim Applic </w:t>
      </w:r>
      <w:r>
        <w:rPr>
          <w:b w:val="false"/>
          <w:bCs w:val="false"/>
          <w:i w:val="false"/>
          <w:iCs w:val="false"/>
          <w:shd w:fill="FFFFFF" w:val="clear"/>
        </w:rPr>
        <w:t>32</w:t>
      </w:r>
      <w:r>
        <w:rPr>
          <w:i w:val="false"/>
          <w:iCs w:val="false"/>
          <w:shd w:fill="FFFFFF" w:val="clear"/>
        </w:rPr>
        <w:t>, 259–283 (2005).</w:t>
      </w:r>
    </w:p>
    <w:p>
      <w:pPr>
        <w:pStyle w:val="References"/>
        <w:numPr>
          <w:ilvl w:val="0"/>
          <w:numId w:val="11"/>
        </w:numPr>
        <w:rPr/>
      </w:pPr>
      <w:r>
        <w:rPr>
          <w:i/>
          <w:shd w:fill="FFFFFF" w:val="clear"/>
        </w:rPr>
        <w:t xml:space="preserve">Chvátal, V. (1983). </w:t>
      </w:r>
      <w:r>
        <w:rPr>
          <w:i w:val="false"/>
          <w:iCs w:val="false"/>
          <w:shd w:fill="FFFFFF" w:val="clear"/>
        </w:rPr>
        <w:t>Linear Programming. W. H. Freeman.</w:t>
      </w:r>
    </w:p>
    <w:p>
      <w:pPr>
        <w:pStyle w:val="PreformattedText"/>
        <w:numPr>
          <w:ilvl w:val="0"/>
          <w:numId w:val="12"/>
        </w:numPr>
        <w:rPr>
          <w:rFonts w:ascii="Liberation Sans" w:hAnsi="Liberation Sans" w:cs="Calibri"/>
          <w:i w:val="false"/>
          <w:i w:val="false"/>
          <w:iCs w:val="false"/>
          <w:sz w:val="20"/>
          <w:szCs w:val="20"/>
          <w:shd w:fill="FFFFFF" w:val="clear"/>
          <w:lang w:val="en-US" w:eastAsia="zh-CN" w:bidi="he-IL"/>
        </w:rPr>
      </w:pPr>
      <w:r>
        <w:rPr>
          <w:rFonts w:cs="Calibri" w:ascii="Liberation Sans" w:hAnsi="Liberation Sans"/>
          <w:i/>
          <w:iCs/>
          <w:sz w:val="20"/>
          <w:szCs w:val="20"/>
          <w:shd w:fill="FFFFFF" w:val="clear"/>
          <w:lang w:val="en-US" w:eastAsia="zh-CN" w:bidi="he-IL"/>
        </w:rPr>
        <w:t>J.J.H.Forrest and J.A.Tomlin</w:t>
      </w:r>
      <w:r>
        <w:rPr>
          <w:rFonts w:cs="Calibri" w:ascii="Liberation Sans" w:hAnsi="Liberation Sans"/>
          <w:i w:val="false"/>
          <w:iCs w:val="false"/>
          <w:sz w:val="20"/>
          <w:szCs w:val="20"/>
          <w:shd w:fill="FFFFFF" w:val="clear"/>
          <w:lang w:val="en-US" w:eastAsia="zh-CN" w:bidi="he-IL"/>
        </w:rPr>
        <w:t>, Updated triangular factors of the basis to maintain sparsity in the product form simplex method, Math. Prog. 2 (1972), pp. 263-78.</w:t>
      </w:r>
    </w:p>
    <w:p>
      <w:pPr>
        <w:pStyle w:val="Normal1"/>
        <w:spacing w:lineRule="auto" w:line="240" w:before="240"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w="http://schemas.openxmlformats.org/wordprocessingml/2006/main">
  <w:zoom w:percent="134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References">
    <w:name w:val="!! References"/>
    <w:basedOn w:val="Normal"/>
    <w:qFormat/>
    <w:pPr>
      <w:numPr>
        <w:ilvl w:val="0"/>
        <w:numId w:val="2"/>
      </w:numPr>
      <w:suppressAutoHyphens w:val="true"/>
      <w:spacing w:before="0" w:after="0"/>
      <w:contextualSpacing/>
    </w:pPr>
    <w:rPr>
      <w:rFonts w:cs="Calibri"/>
      <w:sz w:val="20"/>
      <w:szCs w:val="20"/>
      <w:lang w:val="en-US" w:eastAsia="zh-CN" w:bidi="he-IL"/>
    </w:rPr>
  </w:style>
  <w:style w:type="paragraph" w:styleId="Literature">
    <w:name w:val="!! Literature"/>
    <w:qFormat/>
    <w:pPr>
      <w:keepNext w:val="true"/>
      <w:widowControl/>
      <w:suppressAutoHyphens w:val="true"/>
      <w:bidi w:val="0"/>
      <w:spacing w:lineRule="auto" w:line="276" w:before="240" w:after="120"/>
      <w:jc w:val="center"/>
    </w:pPr>
    <w:rPr>
      <w:rFonts w:ascii="Times New Roman" w:hAnsi="Times New Roman" w:eastAsia="Arial" w:cs="Arial"/>
      <w:b/>
      <w:color w:val="auto"/>
      <w:kern w:val="0"/>
      <w:sz w:val="22"/>
      <w:szCs w:val="24"/>
      <w:lang w:val="ru-RU" w:eastAsia="zh-CN" w:bidi="hi-IN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330</TotalTime>
  <Application>LibreOffice/7.6.6.3$Linux_X86_64 LibreOffice_project/60$Build-3</Application>
  <AppVersion>15.0000</AppVersion>
  <Pages>2</Pages>
  <Words>396</Words>
  <Characters>2620</Characters>
  <CharactersWithSpaces>2985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2024-05-12T19:52:15Z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