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УДК 519.681, 004.4'413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spacing w:after="60" w:before="16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Корректность алгоритма разбора LC-грамматик</w:t>
      </w:r>
    </w:p>
    <w:p w:rsidR="00000000" w:rsidDel="00000000" w:rsidP="00000000" w:rsidRDefault="00000000" w:rsidRPr="00000000" w14:paraId="00000003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Д. Д. Шпилевой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12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осковский физико-технический институт (национальный исследовательский университет)</w:t>
        <w:tab/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1970 году Льюис и Розенкранц представили алгоритм разбора по левому участку - LC-разбор. По большей части LC-разбор является усовершенствованием LL-разбора. Классы языков, которые можно при помощи данных алгоритмов совпадают, однако в силу того, что в случае LC при разборе мы дополнительно опираемся на информацию о том, что выведено из самого левого символа в правиле позволило расширить класс грамматик, по сравнению с классом LL-грамматик. Иными словами, каждая LC-грамматика является LL-грамматикой, но не каждая LL-грамматика является LC-грамматикой. Данное усовершенствование позволило работать с леворекурсивными грамматики, не одна из которых не была LL-грамматикой.</w:t>
      </w:r>
    </w:p>
    <w:p w:rsidR="00000000" w:rsidDel="00000000" w:rsidP="00000000" w:rsidRDefault="00000000" w:rsidRPr="00000000" w14:paraId="00000006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Однако в оригинальной статье не было проведено доказательство корректности данного алгоритма. Моей мотивацией привести доказательство корректности является то, что д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анный алгоритм разбора встречается крайне редко в исследованиях, намного реже чем другие алгоритмы разбора (например, LL или LR), а также выявление закономерностей в алгоритмах разбора с заранее определенными параметрами - порядка разбора и известной информацией (в частном случае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аванцепочкой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), с целью построить обобщение на произвольные параметры разбора.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Алгоритм построения таблицы LC(1)-разбора по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LC(1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)-грамматике: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Вход: LС(1)-грамматика G = (N, Σ, P, S).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Выход: Корректная управляющая таблица разбора T.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line="276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Пусть B -&gt; x - правило с номером i.</w:t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 Если x = Cy, где C - нетерминал, то  T([A, C], a) = (y[A, B], i) для всех A є N, x є FIRST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), таких, что S =&gt; wAe и A =&gt; Bd. x, y, d, e є (N </w:t>
      </w:r>
      <w:r w:rsidDel="00000000" w:rsidR="00000000" w:rsidRPr="00000000">
        <w:rPr>
          <w:rFonts w:ascii="Gungsuh" w:cs="Gungsuh" w:eastAsia="Gungsuh" w:hAnsi="Gungsuh"/>
          <w:b w:val="1"/>
          <w:sz w:val="20"/>
          <w:szCs w:val="20"/>
          <w:rtl w:val="0"/>
        </w:rPr>
        <w:t xml:space="preserve">∪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Σ)*, a є N.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б) Если x не начинается нетерминалом, то T(A, a) = (x[A, B], i) для всех A є N, x є FIRST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bscript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), таких, что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 =&gt; wAe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 A =&gt; Bd. x, d, e є (N </w:t>
      </w:r>
      <w:r w:rsidDel="00000000" w:rsidR="00000000" w:rsidRPr="00000000">
        <w:rPr>
          <w:rFonts w:ascii="Gungsuh" w:cs="Gungsuh" w:eastAsia="Gungsuh" w:hAnsi="Gungsuh"/>
          <w:b w:val="1"/>
          <w:sz w:val="20"/>
          <w:szCs w:val="20"/>
          <w:rtl w:val="0"/>
        </w:rPr>
        <w:t xml:space="preserve">∪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Σ)*, a є N.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line="276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T([A, A], a) = (ε, ε), для всех A є N, a є FIRST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bscript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(e), таких, что S =&gt;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line="276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T(a, av) =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выброс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для всех a є Σ.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line="276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T($, ε) =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допуск.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240" w:line="276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Иначе T(X, a) =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ошибка.</w:t>
      </w:r>
    </w:p>
    <w:p w:rsidR="00000000" w:rsidDel="00000000" w:rsidP="00000000" w:rsidRDefault="00000000" w:rsidRPr="00000000" w14:paraId="00000011">
      <w:pPr>
        <w:widowControl w:val="0"/>
        <w:spacing w:after="240" w:line="276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Алгоритм разбора цепочки по таблице: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Если T (X, a) = (β, i), где X ∈ N ∪ (N × N), то будем писать (aω, Xα$, π) ⊢ (aω, βα$, π);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Если T (a, a) = выброс, то будем писать (aω, aα$, π) ⊢ (aω, α$, π);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Будем говорить, что π - разбор слова ω, если (ω, S, ε) ⊢ (ε, $, π) , (ω, S$, ε) - стартовая, а (ε, $, π) - завершающая конфигурация;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240" w:line="276" w:lineRule="auto"/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случае, если завершающая конфигурация недостижима из стартовой, алгоритм при первом достижении ошибочной конфигурации выводит ошибку, что означает, что сло-во не лежит в языке.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своей работе я доказал корректность при помощи теоремы и леммы об эквивалентности выводимости входной цепочки в терминах конфигураций алгоритма и выводимости в самой грамматике.</w:t>
      </w:r>
    </w:p>
    <w:p w:rsidR="00000000" w:rsidDel="00000000" w:rsidP="00000000" w:rsidRDefault="00000000" w:rsidRPr="00000000" w14:paraId="00000017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 е о р е м а 1.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(ω,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ardo" w:cs="Cardo" w:eastAsia="Cardo" w:hAnsi="Cardo"/>
          <w:sz w:val="20"/>
          <w:szCs w:val="20"/>
          <w:rtl w:val="0"/>
        </w:rPr>
        <w:t xml:space="preserve">$, ε) ⊢∗ (ε, $, π) ⇔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ardo" w:cs="Cardo" w:eastAsia="Cardo" w:hAnsi="Cardo"/>
          <w:sz w:val="20"/>
          <w:szCs w:val="20"/>
          <w:rtl w:val="0"/>
        </w:rPr>
        <w:t xml:space="preserve"> π⇒</w:t>
      </w:r>
      <w:r w:rsidDel="00000000" w:rsidR="00000000" w:rsidRPr="00000000">
        <w:rPr>
          <w:rFonts w:ascii="Gungsuh" w:cs="Gungsuh" w:eastAsia="Gungsuh" w:hAnsi="Gungsuh"/>
          <w:sz w:val="20"/>
          <w:szCs w:val="20"/>
          <w:vertAlign w:val="superscript"/>
          <w:rtl w:val="0"/>
        </w:rPr>
        <w:t xml:space="preserve">∗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lc ω.</w:t>
      </w:r>
    </w:p>
    <w:p w:rsidR="00000000" w:rsidDel="00000000" w:rsidP="00000000" w:rsidRDefault="00000000" w:rsidRPr="00000000" w14:paraId="00000018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Данная формулировка является частным случаем утверждения, представленного в лемме.</w:t>
      </w:r>
    </w:p>
    <w:p w:rsidR="00000000" w:rsidDel="00000000" w:rsidP="00000000" w:rsidRDefault="00000000" w:rsidRPr="00000000" w14:paraId="00000019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Л е м м а 1. (xy, αγ, π1) ⊢∗ (y, βγ, π1π2) ⇔ α π2⇒</w:t>
      </w:r>
      <w:r w:rsidDel="00000000" w:rsidR="00000000" w:rsidRPr="00000000">
        <w:rPr>
          <w:rFonts w:ascii="Gungsuh" w:cs="Gungsuh" w:eastAsia="Gungsuh" w:hAnsi="Gungsuh"/>
          <w:sz w:val="20"/>
          <w:szCs w:val="20"/>
          <w:vertAlign w:val="superscript"/>
          <w:rtl w:val="0"/>
        </w:rPr>
        <w:t xml:space="preserve">∗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lc xβ.</w:t>
      </w:r>
    </w:p>
    <w:p w:rsidR="00000000" w:rsidDel="00000000" w:rsidP="00000000" w:rsidRDefault="00000000" w:rsidRPr="00000000" w14:paraId="0000001A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Идея доказательства: проведение индукции в обе стороны с разбором случаев.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white"/>
          <w:rtl w:val="0"/>
        </w:rPr>
        <w:t xml:space="preserve">Ахо А. Ульман Дж., Теория синтаксического анализа, перевода и компиляции 1972, том 1. Синтаксический анализ.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white"/>
          <w:rtl w:val="0"/>
        </w:rPr>
        <w:t xml:space="preserve">11th Annual Symposium on Switching and Automata Theory (swat 1970), deterministic left corner parsing, pages 139=152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12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-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